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right="0"/>
        <w:jc w:val="center"/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>MSK 双组份</w:t>
      </w:r>
      <w:r>
        <w:rPr>
          <w:rFonts w:hint="eastAsia" w:cs="楷体"/>
          <w:b/>
          <w:bCs/>
          <w:sz w:val="32"/>
          <w:szCs w:val="28"/>
          <w:lang w:val="en-US" w:eastAsia="zh-CN" w:bidi="en-US"/>
        </w:rPr>
        <w:t>有机</w:t>
      </w: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>灌封胶 MR661</w:t>
      </w:r>
      <w:r>
        <w:rPr>
          <w:rFonts w:hint="eastAsia" w:cs="楷体"/>
          <w:b/>
          <w:bCs/>
          <w:sz w:val="32"/>
          <w:szCs w:val="28"/>
          <w:lang w:val="en-US" w:eastAsia="zh-CN" w:bidi="en-US"/>
        </w:rPr>
        <w:t>0</w:t>
      </w: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>AB</w:t>
      </w:r>
    </w:p>
    <w:p>
      <w:pPr>
        <w:widowControl/>
        <w:autoSpaceDE/>
        <w:autoSpaceDN/>
        <w:spacing w:before="39" w:after="0" w:line="240" w:lineRule="auto"/>
        <w:ind w:left="218" w:leftChars="99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18" w:leftChars="99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spacing w:before="102" w:line="278" w:lineRule="auto"/>
        <w:ind w:left="121" w:right="-440" w:rightChars="0" w:firstLine="420"/>
        <w:jc w:val="left"/>
        <w:rPr>
          <w:rFonts w:hint="eastAsia" w:cs="楷体"/>
          <w:sz w:val="21"/>
          <w:szCs w:val="21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>MR6610AB</w:t>
      </w:r>
      <w:r>
        <w:rPr>
          <w:spacing w:val="-1"/>
          <w:sz w:val="21"/>
        </w:rPr>
        <w:t>是一种高透明、高强度、性能优异的有机硅灌封胶。其在固化前具有较低的</w:t>
      </w:r>
      <w:r>
        <w:rPr>
          <w:spacing w:val="-8"/>
          <w:w w:val="95"/>
          <w:sz w:val="21"/>
        </w:rPr>
        <w:t>粘度，两个组分混合后可以在室温下固化，升温可以加速固化，固化时材料无收缩。该产品</w:t>
      </w:r>
      <w:r>
        <w:rPr>
          <w:spacing w:val="-12"/>
          <w:w w:val="95"/>
          <w:sz w:val="21"/>
        </w:rPr>
        <w:t>通过对电子元件进行灌封，固化后具有极低的应力和弹性保护，可有效的防止水分、尘埃及</w:t>
      </w:r>
      <w:r>
        <w:rPr>
          <w:spacing w:val="-16"/>
          <w:w w:val="95"/>
          <w:sz w:val="21"/>
        </w:rPr>
        <w:t>有害气体对电子元器件的侵入，减缓振动，防止外力损伤和稳定元器件参数，将外界的不良</w:t>
      </w:r>
      <w:r>
        <w:rPr>
          <w:spacing w:val="-16"/>
          <w:sz w:val="21"/>
        </w:rPr>
        <w:t>影响降到最低</w:t>
      </w:r>
      <w:r>
        <w:rPr>
          <w:rFonts w:hint="eastAsia" w:cs="楷体"/>
          <w:sz w:val="21"/>
          <w:szCs w:val="21"/>
          <w:lang w:val="en-US" w:eastAsia="zh-CN" w:bidi="en-US"/>
        </w:rPr>
        <w:t xml:space="preserve">。                                  </w:t>
      </w:r>
    </w:p>
    <w:p>
      <w:pPr>
        <w:spacing w:before="102" w:line="278" w:lineRule="auto"/>
        <w:ind w:left="121" w:right="-440" w:rightChars="0" w:firstLine="5222" w:firstLineChars="2487"/>
        <w:jc w:val="left"/>
        <w:rPr>
          <w:rFonts w:hint="default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 xml:space="preserve">  </w:t>
      </w: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产品典型性能参数:</w:t>
      </w:r>
    </w:p>
    <w:p>
      <w:pPr>
        <w:tabs>
          <w:tab w:val="left" w:pos="954"/>
        </w:tabs>
        <w:spacing w:after="0" w:line="278" w:lineRule="auto"/>
        <w:rPr>
          <w:rFonts w:hint="eastAsia"/>
          <w:lang w:eastAsia="zh-CN"/>
        </w:rPr>
        <w:sectPr>
          <w:headerReference r:id="rId3" w:type="default"/>
          <w:type w:val="continuous"/>
          <w:pgSz w:w="11910" w:h="16840"/>
          <w:pgMar w:top="840" w:right="1290" w:bottom="280" w:left="720" w:header="60" w:footer="720" w:gutter="0"/>
          <w:cols w:space="425" w:num="1"/>
        </w:sect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b/>
          <w:bCs/>
          <w:sz w:val="24"/>
          <w:szCs w:val="22"/>
          <w:lang w:val="en-US" w:eastAsia="zh-CN" w:bidi="en-US"/>
        </w:rPr>
        <w:t>产品特点和优点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流动性好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透明度＞95%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耐黄变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线收缩率低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100%固体，无固化副产物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使用温度-50℃~200℃</w:t>
      </w: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光学器件灌封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TGBT 灌封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精密电子产品灌封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0" w:leftChars="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  <w:r>
        <w:rPr>
          <w:rFonts w:hint="eastAsia" w:cs="楷体"/>
          <w:b/>
          <w:bCs/>
          <w:sz w:val="24"/>
          <w:szCs w:val="22"/>
          <w:lang w:val="en-US" w:eastAsia="zh-CN" w:bidi="en-US"/>
        </w:rPr>
        <w:t>方法</w:t>
      </w:r>
    </w:p>
    <w:p>
      <w:pPr>
        <w:pStyle w:val="3"/>
        <w:spacing w:before="137" w:line="242" w:lineRule="auto"/>
        <w:ind w:left="17" w:leftChars="0" w:right="-440" w:rightChars="0" w:firstLine="423" w:firstLineChars="0"/>
      </w:pPr>
      <w:r>
        <w:rPr>
          <w:rFonts w:hint="eastAsia" w:cs="楷体"/>
          <w:sz w:val="21"/>
          <w:szCs w:val="21"/>
          <w:lang w:val="en-US" w:eastAsia="zh-CN" w:bidi="en-US"/>
        </w:rPr>
        <w:t>使用时将 A，B 按照 1：1 的比例混合均匀，</w:t>
      </w:r>
      <w:r>
        <w:rPr>
          <w:spacing w:val="-4"/>
        </w:rPr>
        <w:t>将混合后的胶料进行真空脱泡，</w:t>
      </w:r>
      <w:r>
        <w:rPr>
          <w:spacing w:val="-6"/>
        </w:rPr>
        <w:t>然后浇注在需要灌封的部位。为达到更好的灌封效果，灌封到产品器件后，可再次真空脱膜。灌封完成后，根据具体工艺条件室温加热固化均可。</w:t>
      </w:r>
    </w:p>
    <w:p>
      <w:pPr>
        <w:spacing w:before="102" w:line="240" w:lineRule="auto"/>
        <w:ind w:right="-630" w:rightChars="0"/>
        <w:jc w:val="left"/>
        <w:rPr>
          <w:rFonts w:hint="eastAsia" w:cs="楷体"/>
          <w:sz w:val="21"/>
          <w:szCs w:val="21"/>
          <w:lang w:val="en-US" w:eastAsia="zh-CN" w:bidi="en-US"/>
        </w:rPr>
      </w:pPr>
    </w:p>
    <w:tbl>
      <w:tblPr>
        <w:tblStyle w:val="6"/>
        <w:tblW w:w="45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416"/>
        <w:gridCol w:w="1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91" w:type="dxa"/>
            <w:tcBorders>
              <w:right w:val="nil"/>
            </w:tcBorders>
            <w:vAlign w:val="center"/>
          </w:tcPr>
          <w:p>
            <w:pPr>
              <w:pStyle w:val="10"/>
              <w:ind w:left="95" w:leftChars="0" w:right="171" w:rightChars="0"/>
              <w:jc w:val="center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性能</w:t>
            </w:r>
          </w:p>
        </w:tc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59"/>
              <w:ind w:left="184" w:leftChars="0" w:right="199" w:rightChars="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MR</w:t>
            </w:r>
            <w:r>
              <w:rPr>
                <w:sz w:val="18"/>
              </w:rPr>
              <w:t>-6610</w:t>
            </w:r>
            <w:r>
              <w:rPr>
                <w:rFonts w:hint="eastAsia" w:eastAsia="宋体"/>
                <w:sz w:val="18"/>
                <w:lang w:val="en-US" w:eastAsia="zh-CN"/>
              </w:rPr>
              <w:t>AB</w:t>
            </w:r>
          </w:p>
        </w:tc>
        <w:tc>
          <w:tcPr>
            <w:tcW w:w="1371" w:type="dxa"/>
            <w:tcBorders>
              <w:left w:val="nil"/>
            </w:tcBorders>
            <w:vAlign w:val="center"/>
          </w:tcPr>
          <w:p>
            <w:pPr>
              <w:pStyle w:val="10"/>
              <w:ind w:left="213" w:leftChars="0" w:right="0" w:rightChars="0"/>
              <w:jc w:val="center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测试标准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78" w:type="dxa"/>
            <w:gridSpan w:val="3"/>
            <w:shd w:val="clear" w:color="auto" w:fill="33CC33"/>
            <w:vAlign w:val="center"/>
          </w:tcPr>
          <w:p>
            <w:pPr>
              <w:pStyle w:val="10"/>
              <w:spacing w:before="52"/>
              <w:ind w:left="369" w:leftChars="0" w:right="0" w:rightChars="0"/>
              <w:jc w:val="both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未固化性能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91" w:type="dxa"/>
            <w:tcBorders>
              <w:right w:val="nil"/>
            </w:tcBorders>
            <w:vAlign w:val="center"/>
          </w:tcPr>
          <w:p>
            <w:pPr>
              <w:pStyle w:val="10"/>
              <w:ind w:left="95" w:leftChars="0" w:right="171" w:rightChars="0"/>
              <w:jc w:val="center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颜色</w:t>
            </w:r>
          </w:p>
        </w:tc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ind w:left="184" w:leftChars="0" w:right="200" w:rightChars="0"/>
              <w:jc w:val="center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透明</w:t>
            </w:r>
          </w:p>
        </w:tc>
        <w:tc>
          <w:tcPr>
            <w:tcW w:w="1371" w:type="dxa"/>
            <w:tcBorders>
              <w:left w:val="nil"/>
            </w:tcBorders>
            <w:vAlign w:val="center"/>
          </w:tcPr>
          <w:p>
            <w:pPr>
              <w:pStyle w:val="10"/>
              <w:ind w:left="213" w:leftChars="0" w:right="0" w:rightChars="0"/>
              <w:jc w:val="center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91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before="48"/>
              <w:ind w:left="95" w:leftChars="0" w:right="171" w:rightChars="0"/>
              <w:jc w:val="center"/>
              <w:rPr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混合粘度</w:t>
            </w:r>
            <w:r>
              <w:rPr>
                <w:sz w:val="18"/>
              </w:rPr>
              <w:t>/mPa·s</w:t>
            </w:r>
          </w:p>
        </w:tc>
        <w:tc>
          <w:tcPr>
            <w:tcW w:w="141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before="48"/>
              <w:ind w:left="184" w:leftChars="0" w:right="201" w:rightChars="0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  <w:r>
              <w:rPr>
                <w:rFonts w:ascii="楷体" w:hAnsi="楷体"/>
                <w:sz w:val="18"/>
              </w:rPr>
              <w:t>±</w:t>
            </w:r>
            <w:r>
              <w:rPr>
                <w:sz w:val="18"/>
              </w:rPr>
              <w:t>200</w:t>
            </w:r>
          </w:p>
        </w:tc>
        <w:tc>
          <w:tcPr>
            <w:tcW w:w="1371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pStyle w:val="10"/>
              <w:spacing w:before="59"/>
              <w:ind w:left="214" w:leftChars="0" w:right="53" w:rightChars="0"/>
              <w:jc w:val="center"/>
              <w:rPr>
                <w:rFonts w:ascii="楷体"/>
                <w:sz w:val="21"/>
              </w:rPr>
            </w:pPr>
            <w:r>
              <w:rPr>
                <w:sz w:val="18"/>
              </w:rPr>
              <w:t>ASTM D1084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55"/>
              <w:ind w:left="369" w:leftChars="0" w:right="0" w:rightChars="0"/>
              <w:jc w:val="left"/>
              <w:rPr>
                <w:rFonts w:ascii="楷体"/>
                <w:sz w:val="21"/>
              </w:rPr>
            </w:pPr>
            <w:r>
              <w:rPr>
                <w:rFonts w:hint="eastAsia" w:ascii="楷体" w:eastAsia="楷体"/>
                <w:sz w:val="18"/>
              </w:rPr>
              <w:t>操作性能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1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47"/>
              <w:ind w:left="95" w:leftChars="0" w:right="175" w:rightChars="0"/>
              <w:jc w:val="center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操作时间</w:t>
            </w:r>
            <w:r>
              <w:rPr>
                <w:sz w:val="18"/>
              </w:rPr>
              <w:t>/min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59"/>
              <w:ind w:left="184" w:leftChars="0" w:right="201" w:rightChars="0"/>
              <w:jc w:val="center"/>
            </w:pPr>
            <w:r>
              <w:rPr>
                <w:sz w:val="18"/>
              </w:rPr>
              <w:t>30~40</w:t>
            </w:r>
          </w:p>
        </w:tc>
        <w:tc>
          <w:tcPr>
            <w:tcW w:w="1371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47"/>
              <w:ind w:left="213" w:leftChars="0" w:right="0" w:rightChars="0"/>
              <w:jc w:val="center"/>
            </w:pPr>
            <w:r>
              <w:rPr>
                <w:rFonts w:ascii="楷体" w:hAnsi="楷体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91" w:type="dxa"/>
            <w:tcBorders>
              <w:right w:val="nil"/>
            </w:tcBorders>
            <w:vAlign w:val="center"/>
          </w:tcPr>
          <w:p>
            <w:pPr>
              <w:pStyle w:val="10"/>
              <w:ind w:left="95" w:leftChars="0" w:right="174" w:rightChars="0"/>
              <w:jc w:val="center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表干时间</w:t>
            </w:r>
            <w:r>
              <w:rPr>
                <w:sz w:val="18"/>
              </w:rPr>
              <w:t>/h@25</w:t>
            </w:r>
            <w:r>
              <w:rPr>
                <w:rFonts w:hint="eastAsia" w:ascii="楷体" w:hAnsi="楷体" w:eastAsia="楷体"/>
                <w:sz w:val="18"/>
              </w:rPr>
              <w:t>℃</w:t>
            </w:r>
          </w:p>
        </w:tc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62"/>
              <w:ind w:left="184" w:leftChars="0" w:right="199" w:rightChars="0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371" w:type="dxa"/>
            <w:tcBorders>
              <w:left w:val="nil"/>
            </w:tcBorders>
            <w:vAlign w:val="center"/>
          </w:tcPr>
          <w:p>
            <w:pPr>
              <w:pStyle w:val="10"/>
              <w:ind w:left="213" w:leftChars="0" w:right="0" w:rightChars="0"/>
              <w:jc w:val="center"/>
              <w:rPr>
                <w:rFonts w:hint="eastAsia" w:ascii="楷体" w:eastAsia="楷体"/>
                <w:sz w:val="18"/>
              </w:rPr>
            </w:pPr>
            <w:r>
              <w:rPr>
                <w:rFonts w:ascii="楷体" w:hAnsi="楷体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91" w:type="dxa"/>
            <w:tcBorders>
              <w:right w:val="nil"/>
            </w:tcBorders>
            <w:vAlign w:val="center"/>
          </w:tcPr>
          <w:p>
            <w:pPr>
              <w:pStyle w:val="10"/>
              <w:spacing w:before="48"/>
              <w:ind w:left="95" w:leftChars="0" w:right="174" w:rightChars="0"/>
              <w:jc w:val="center"/>
              <w:rPr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固化时间</w:t>
            </w:r>
            <w:r>
              <w:rPr>
                <w:sz w:val="18"/>
              </w:rPr>
              <w:t>/h@25</w:t>
            </w:r>
            <w:r>
              <w:rPr>
                <w:rFonts w:hint="eastAsia" w:ascii="楷体" w:hAnsi="楷体" w:eastAsia="楷体"/>
                <w:sz w:val="18"/>
              </w:rPr>
              <w:t>℃</w:t>
            </w:r>
          </w:p>
        </w:tc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59"/>
              <w:ind w:left="184" w:leftChars="0" w:right="201" w:rightChars="0"/>
              <w:jc w:val="center"/>
              <w:rPr>
                <w:sz w:val="18"/>
              </w:rPr>
            </w:pPr>
            <w:r>
              <w:rPr>
                <w:sz w:val="18"/>
              </w:rPr>
              <w:t>4~6</w:t>
            </w:r>
          </w:p>
        </w:tc>
        <w:tc>
          <w:tcPr>
            <w:tcW w:w="1371" w:type="dxa"/>
            <w:tcBorders>
              <w:left w:val="nil"/>
            </w:tcBorders>
            <w:vAlign w:val="center"/>
          </w:tcPr>
          <w:p>
            <w:pPr>
              <w:pStyle w:val="10"/>
              <w:spacing w:before="48"/>
              <w:ind w:left="213" w:leftChars="0" w:right="0" w:rightChars="0"/>
              <w:jc w:val="center"/>
              <w:rPr>
                <w:sz w:val="22"/>
              </w:rPr>
            </w:pPr>
            <w:r>
              <w:rPr>
                <w:rFonts w:ascii="楷体" w:hAnsi="楷体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91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ind w:left="95" w:leftChars="0" w:right="171" w:rightChars="0"/>
              <w:jc w:val="center"/>
              <w:rPr>
                <w:rFonts w:hint="eastAsia"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固化时间</w:t>
            </w:r>
            <w:r>
              <w:rPr>
                <w:sz w:val="18"/>
              </w:rPr>
              <w:t>/min@80</w:t>
            </w:r>
            <w:r>
              <w:rPr>
                <w:rFonts w:hint="eastAsia" w:ascii="楷体" w:hAnsi="楷体" w:eastAsia="楷体"/>
                <w:sz w:val="18"/>
              </w:rPr>
              <w:t>℃</w:t>
            </w:r>
          </w:p>
        </w:tc>
        <w:tc>
          <w:tcPr>
            <w:tcW w:w="141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before="62"/>
              <w:ind w:left="184" w:leftChars="0" w:right="201" w:rightChars="0"/>
              <w:jc w:val="center"/>
              <w:rPr>
                <w:sz w:val="18"/>
              </w:rPr>
            </w:pPr>
            <w:r>
              <w:rPr>
                <w:sz w:val="18"/>
              </w:rPr>
              <w:t>20~30</w:t>
            </w:r>
          </w:p>
        </w:tc>
        <w:tc>
          <w:tcPr>
            <w:tcW w:w="1371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pStyle w:val="10"/>
              <w:ind w:left="213" w:leftChars="0" w:right="0" w:rightChars="0"/>
              <w:jc w:val="center"/>
              <w:rPr>
                <w:rFonts w:ascii="楷体" w:hAnsi="楷体"/>
                <w:sz w:val="18"/>
              </w:rPr>
            </w:pPr>
            <w:r>
              <w:rPr>
                <w:rFonts w:ascii="楷体" w:hAnsi="楷体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right" w:pos="4116"/>
              </w:tabs>
              <w:spacing w:before="52"/>
              <w:ind w:left="369" w:leftChars="0" w:right="0" w:rightChars="0"/>
              <w:jc w:val="both"/>
              <w:rPr>
                <w:rFonts w:hint="eastAsia" w:ascii="楷体" w:hAnsi="楷体" w:eastAsia="楷体"/>
                <w:sz w:val="18"/>
                <w:lang w:eastAsia="zh-CN"/>
              </w:rPr>
            </w:pPr>
            <w:r>
              <w:rPr>
                <w:rFonts w:hint="eastAsia" w:ascii="楷体" w:eastAsia="楷体"/>
                <w:sz w:val="18"/>
              </w:rPr>
              <w:t>固化后性能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91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48"/>
              <w:ind w:left="95" w:leftChars="0" w:right="173" w:rightChars="0"/>
              <w:jc w:val="center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硬度</w:t>
            </w:r>
            <w:r>
              <w:rPr>
                <w:sz w:val="18"/>
              </w:rPr>
              <w:t>/A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48"/>
              <w:ind w:left="181" w:leftChars="0" w:right="203" w:rightChars="0"/>
              <w:jc w:val="center"/>
            </w:pPr>
            <w:r>
              <w:rPr>
                <w:sz w:val="18"/>
              </w:rPr>
              <w:t>30</w:t>
            </w:r>
            <w:r>
              <w:rPr>
                <w:rFonts w:ascii="楷体" w:hAnsi="楷体"/>
                <w:sz w:val="18"/>
              </w:rPr>
              <w:t>±</w:t>
            </w:r>
            <w:r>
              <w:rPr>
                <w:sz w:val="18"/>
              </w:rPr>
              <w:t>5</w:t>
            </w:r>
          </w:p>
        </w:tc>
        <w:tc>
          <w:tcPr>
            <w:tcW w:w="1371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59"/>
              <w:ind w:left="212" w:leftChars="0" w:right="0" w:rightChars="0"/>
              <w:jc w:val="center"/>
            </w:pPr>
            <w:r>
              <w:rPr>
                <w:sz w:val="18"/>
              </w:rPr>
              <w:t>ASTM D2240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91" w:type="dxa"/>
            <w:tcBorders>
              <w:right w:val="nil"/>
            </w:tcBorders>
            <w:vAlign w:val="center"/>
          </w:tcPr>
          <w:p>
            <w:pPr>
              <w:pStyle w:val="10"/>
              <w:ind w:left="95" w:leftChars="0" w:right="174" w:rightChars="0"/>
              <w:jc w:val="center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比重</w:t>
            </w:r>
            <w:r>
              <w:rPr>
                <w:sz w:val="18"/>
              </w:rPr>
              <w:t>/g/cm</w:t>
            </w:r>
            <w:r>
              <w:rPr>
                <w:position w:val="6"/>
                <w:sz w:val="11"/>
              </w:rPr>
              <w:t>3</w:t>
            </w:r>
          </w:p>
        </w:tc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ind w:left="181" w:leftChars="0" w:right="203" w:rightChars="0"/>
              <w:jc w:val="center"/>
              <w:rPr>
                <w:sz w:val="18"/>
              </w:rPr>
            </w:pPr>
            <w:r>
              <w:rPr>
                <w:sz w:val="18"/>
              </w:rPr>
              <w:t>0.95</w:t>
            </w:r>
            <w:r>
              <w:rPr>
                <w:rFonts w:ascii="楷体" w:hAnsi="楷体"/>
                <w:sz w:val="18"/>
              </w:rPr>
              <w:t>±</w:t>
            </w:r>
            <w:r>
              <w:rPr>
                <w:sz w:val="18"/>
              </w:rPr>
              <w:t>0.05</w:t>
            </w:r>
          </w:p>
        </w:tc>
        <w:tc>
          <w:tcPr>
            <w:tcW w:w="1371" w:type="dxa"/>
            <w:tcBorders>
              <w:left w:val="nil"/>
            </w:tcBorders>
            <w:vAlign w:val="center"/>
          </w:tcPr>
          <w:p>
            <w:pPr>
              <w:pStyle w:val="10"/>
              <w:spacing w:before="59"/>
              <w:ind w:left="212" w:leftChars="0" w:right="0" w:rightChars="0"/>
              <w:jc w:val="center"/>
              <w:rPr>
                <w:rFonts w:ascii="楷体"/>
                <w:sz w:val="21"/>
              </w:rPr>
            </w:pPr>
            <w:r>
              <w:rPr>
                <w:sz w:val="18"/>
              </w:rPr>
              <w:t>ASTM D792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91" w:type="dxa"/>
            <w:tcBorders>
              <w:right w:val="nil"/>
            </w:tcBorders>
            <w:vAlign w:val="center"/>
          </w:tcPr>
          <w:p>
            <w:pPr>
              <w:pStyle w:val="10"/>
              <w:spacing w:before="47"/>
              <w:ind w:left="95" w:leftChars="0" w:right="168" w:rightChars="0"/>
              <w:jc w:val="center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抗拉强度</w:t>
            </w:r>
            <w:r>
              <w:rPr>
                <w:sz w:val="18"/>
              </w:rPr>
              <w:t>/MPa</w:t>
            </w:r>
          </w:p>
        </w:tc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59"/>
              <w:ind w:left="183" w:leftChars="0" w:right="203" w:rightChars="0"/>
              <w:jc w:val="center"/>
              <w:rPr>
                <w:sz w:val="18"/>
              </w:rPr>
            </w:pPr>
            <w:r>
              <w:rPr>
                <w:sz w:val="18"/>
              </w:rPr>
              <w:t>&gt;1.0</w:t>
            </w:r>
          </w:p>
        </w:tc>
        <w:tc>
          <w:tcPr>
            <w:tcW w:w="1371" w:type="dxa"/>
            <w:tcBorders>
              <w:left w:val="nil"/>
            </w:tcBorders>
            <w:vAlign w:val="center"/>
          </w:tcPr>
          <w:p>
            <w:pPr>
              <w:pStyle w:val="10"/>
              <w:spacing w:before="59"/>
              <w:ind w:left="212" w:leftChars="0" w:right="0" w:rightChars="0"/>
              <w:jc w:val="center"/>
              <w:rPr>
                <w:rFonts w:ascii="楷体"/>
                <w:sz w:val="21"/>
              </w:rPr>
            </w:pPr>
            <w:r>
              <w:rPr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91" w:type="dxa"/>
            <w:tcBorders>
              <w:right w:val="nil"/>
            </w:tcBorders>
            <w:vAlign w:val="center"/>
          </w:tcPr>
          <w:p>
            <w:pPr>
              <w:pStyle w:val="10"/>
              <w:ind w:left="95" w:leftChars="0" w:right="173" w:rightChars="0"/>
              <w:jc w:val="center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介电强度</w:t>
            </w:r>
            <w:r>
              <w:rPr>
                <w:sz w:val="18"/>
              </w:rPr>
              <w:t>/kV/mm</w:t>
            </w:r>
          </w:p>
        </w:tc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ind w:left="181" w:leftChars="0" w:right="203" w:rightChars="0"/>
              <w:jc w:val="center"/>
              <w:rPr>
                <w:sz w:val="18"/>
              </w:rPr>
            </w:pPr>
            <w:r>
              <w:rPr>
                <w:rFonts w:ascii="楷体" w:hAnsi="楷体"/>
                <w:sz w:val="18"/>
              </w:rPr>
              <w:t>≥</w:t>
            </w:r>
            <w:r>
              <w:rPr>
                <w:sz w:val="18"/>
              </w:rPr>
              <w:t>30</w:t>
            </w:r>
          </w:p>
        </w:tc>
        <w:tc>
          <w:tcPr>
            <w:tcW w:w="1371" w:type="dxa"/>
            <w:tcBorders>
              <w:left w:val="nil"/>
            </w:tcBorders>
            <w:vAlign w:val="center"/>
          </w:tcPr>
          <w:p>
            <w:pPr>
              <w:pStyle w:val="10"/>
              <w:spacing w:before="59"/>
              <w:ind w:left="212" w:leftChars="0" w:right="0" w:rightChars="0"/>
              <w:jc w:val="center"/>
              <w:rPr>
                <w:sz w:val="18"/>
              </w:rPr>
            </w:pPr>
            <w:r>
              <w:rPr>
                <w:sz w:val="18"/>
              </w:rPr>
              <w:t>ASTM D149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1" w:type="dxa"/>
            <w:tcBorders>
              <w:right w:val="nil"/>
            </w:tcBorders>
            <w:vAlign w:val="center"/>
          </w:tcPr>
          <w:p>
            <w:pPr>
              <w:pStyle w:val="10"/>
              <w:spacing w:before="48"/>
              <w:ind w:left="95" w:leftChars="0" w:right="173" w:rightChars="0"/>
              <w:jc w:val="center"/>
              <w:rPr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体积电阻率</w:t>
            </w:r>
            <w:r>
              <w:rPr>
                <w:sz w:val="18"/>
              </w:rPr>
              <w:t>/Ω·cm</w:t>
            </w:r>
          </w:p>
        </w:tc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48"/>
              <w:ind w:left="180" w:leftChars="0" w:right="203" w:rightChars="0"/>
              <w:jc w:val="center"/>
              <w:rPr>
                <w:sz w:val="18"/>
              </w:rPr>
            </w:pPr>
            <w:r>
              <w:rPr>
                <w:rFonts w:ascii="楷体" w:hAnsi="楷体"/>
                <w:sz w:val="18"/>
              </w:rPr>
              <w:t>≥1X</w:t>
            </w:r>
            <w:r>
              <w:rPr>
                <w:sz w:val="18"/>
              </w:rPr>
              <w:t xml:space="preserve">10 </w:t>
            </w:r>
            <w:r>
              <w:rPr>
                <w:position w:val="6"/>
                <w:sz w:val="11"/>
              </w:rPr>
              <w:t>15</w:t>
            </w:r>
          </w:p>
        </w:tc>
        <w:tc>
          <w:tcPr>
            <w:tcW w:w="1371" w:type="dxa"/>
            <w:tcBorders>
              <w:left w:val="nil"/>
            </w:tcBorders>
            <w:vAlign w:val="center"/>
          </w:tcPr>
          <w:p>
            <w:pPr>
              <w:pStyle w:val="10"/>
              <w:spacing w:before="59"/>
              <w:ind w:left="212" w:leftChars="0" w:right="0" w:rightChars="0"/>
              <w:jc w:val="center"/>
              <w:rPr>
                <w:sz w:val="18"/>
              </w:rPr>
            </w:pPr>
            <w:r>
              <w:rPr>
                <w:sz w:val="18"/>
              </w:rPr>
              <w:t>ASTM D257</w:t>
            </w:r>
          </w:p>
        </w:tc>
      </w:tr>
    </w:tbl>
    <w:p>
      <w:pPr>
        <w:spacing w:before="0"/>
        <w:ind w:left="-660" w:leftChars="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sectPr>
          <w:type w:val="continuous"/>
          <w:pgSz w:w="11910" w:h="16840"/>
          <w:pgMar w:top="840" w:right="1480" w:bottom="280" w:left="940" w:header="720" w:footer="720" w:gutter="0"/>
          <w:cols w:equalWidth="0" w:num="2">
            <w:col w:w="4840" w:space="660"/>
            <w:col w:w="3989"/>
          </w:cols>
        </w:sect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spacing w:before="102" w:line="278" w:lineRule="auto"/>
        <w:ind w:left="-660" w:leftChars="0" w:right="-630" w:rightChars="0" w:firstLine="420" w:firstLineChars="0"/>
        <w:jc w:val="left"/>
        <w:rPr>
          <w:rFonts w:hint="eastAsia" w:cs="楷体"/>
          <w:sz w:val="21"/>
          <w:szCs w:val="21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>本产品属于加成型固化硅橡胶，遇到以下物质会影响或阻碍产品的固化： 含有锡（Sn2+）、铅（Pb2+）、汞（Hg2+）等重金属离子的化合物；有机锡以及含有机锡的硅酮胶；含 N、S、P 的有机化合物；某些不饱和碳氢增塑剂等。</w:t>
      </w: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spacing w:before="134"/>
        <w:ind w:left="-219" w:leftChars="0" w:firstLine="0" w:firstLineChars="0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20kg/桶，40kg/组。</w:t>
      </w: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pStyle w:val="3"/>
        <w:spacing w:before="134"/>
        <w:ind w:left="-219" w:leftChars="0" w:firstLine="0" w:firstLineChars="0"/>
        <w:rPr>
          <w:sz w:val="22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在 30℃以下密封保存，A、B 组分的有效期为自生产日期后十二个月。</w:t>
      </w:r>
    </w:p>
    <w:sectPr>
      <w:type w:val="continuous"/>
      <w:pgSz w:w="11910" w:h="16840"/>
      <w:pgMar w:top="840" w:right="1480" w:bottom="280" w:left="160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03350"/>
          <wp:effectExtent l="0" t="0" r="0" b="6350"/>
          <wp:docPr id="7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4BA2"/>
    <w:rsid w:val="00FD4E4A"/>
    <w:rsid w:val="059052DB"/>
    <w:rsid w:val="0C9C47EC"/>
    <w:rsid w:val="12D52749"/>
    <w:rsid w:val="130B3BAC"/>
    <w:rsid w:val="25B4705F"/>
    <w:rsid w:val="260D4314"/>
    <w:rsid w:val="2A282D4F"/>
    <w:rsid w:val="2A937131"/>
    <w:rsid w:val="32D25786"/>
    <w:rsid w:val="3F724832"/>
    <w:rsid w:val="5505544A"/>
    <w:rsid w:val="62357639"/>
    <w:rsid w:val="6B13759D"/>
    <w:rsid w:val="70CE67FA"/>
    <w:rsid w:val="72247A3B"/>
    <w:rsid w:val="79CF386F"/>
    <w:rsid w:val="7CD00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4"/>
      <w:ind w:left="764" w:hanging="86"/>
    </w:pPr>
    <w:rPr>
      <w:rFonts w:ascii="楷体" w:hAnsi="楷体" w:eastAsia="楷体" w:cs="楷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50"/>
      <w:ind w:left="95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2020-04-09T01:39:00Z</dcterms:created>
  <dc:creator>Administrator</dc:creator>
  <cp:lastModifiedBy>康達科技集團-力達創新馮順德</cp:lastModifiedBy>
  <dcterms:modified xsi:type="dcterms:W3CDTF">2020-07-13T08:39:58Z</dcterms:modified>
  <dc:title>TDS TBL-6238-2.0.doc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TDS TBL-6238-2.0.doc - WPS 文字 - 兼容模式</vt:lpwstr>
  </property>
  <property fmtid="{D5CDD505-2E9C-101B-9397-08002B2CF9AE}" pid="4" name="LastSaved">
    <vt:filetime>2020-04-09T00:00:00Z</vt:filetime>
  </property>
  <property fmtid="{D5CDD505-2E9C-101B-9397-08002B2CF9AE}" pid="5" name="KSOProductBuildVer">
    <vt:lpwstr>2052-11.1.0.9740</vt:lpwstr>
  </property>
</Properties>
</file>