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3"/>
        <w:ind w:left="97" w:leftChars="44" w:right="-590" w:rightChars="-268" w:firstLine="120" w:firstLineChars="50"/>
        <w:rPr>
          <w:rFonts w:ascii="Times New Roman"/>
          <w:sz w:val="20"/>
        </w:rPr>
      </w:pPr>
      <w:bookmarkStart w:id="0" w:name="page1"/>
      <w:bookmarkEnd w:id="0"/>
      <w:r>
        <w:rPr>
          <w:rFonts w:hint="eastAsia" w:ascii="微软雅黑" w:hAnsi="微软雅黑" w:eastAsia="微软雅黑" w:cs="微软雅黑"/>
          <w:sz w:val="24"/>
          <w:lang w:eastAsia="zh-CN"/>
        </w:rPr>
        <w:drawing>
          <wp:inline distT="0" distB="0" distL="114300" distR="114300">
            <wp:extent cx="635" cy="635"/>
            <wp:effectExtent l="0" t="0" r="0" b="0"/>
            <wp:docPr id="6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lang w:eastAsia="zh-CN"/>
        </w:rPr>
        <w:drawing>
          <wp:inline distT="0" distB="0" distL="114300" distR="114300">
            <wp:extent cx="6610350" cy="1666875"/>
            <wp:effectExtent l="0" t="0" r="0" b="9525"/>
            <wp:docPr id="7" name="图片 2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32"/>
          <w:szCs w:val="28"/>
          <w:lang w:val="en-US" w:eastAsia="zh-CN" w:bidi="en-US"/>
        </w:rPr>
        <w:t xml:space="preserve">MSK有机硅粘接密封胶MR6136-WL </w:t>
      </w:r>
    </w:p>
    <w:p>
      <w:pPr>
        <w:widowControl/>
        <w:autoSpaceDE/>
        <w:autoSpaceDN/>
        <w:spacing w:before="39" w:after="0" w:line="240" w:lineRule="auto"/>
        <w:ind w:left="220" w:leftChars="100" w:right="140"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产品描述</w:t>
      </w:r>
    </w:p>
    <w:p>
      <w:pPr>
        <w:pStyle w:val="3"/>
        <w:widowControl/>
        <w:autoSpaceDE/>
        <w:autoSpaceDN/>
        <w:spacing w:before="102" w:after="0" w:line="240" w:lineRule="auto"/>
        <w:ind w:left="339" w:leftChars="154" w:right="-810" w:rightChars="0" w:firstLine="415" w:firstLineChars="189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cs="楷体"/>
          <w:sz w:val="22"/>
          <w:szCs w:val="21"/>
          <w:lang w:val="en-US" w:eastAsia="zh-CN" w:bidi="en-US"/>
        </w:rPr>
        <w:t>MR</w:t>
      </w: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6136</w:t>
      </w:r>
      <w:r>
        <w:rPr>
          <w:rFonts w:hint="eastAsia" w:cs="楷体"/>
          <w:sz w:val="22"/>
          <w:szCs w:val="21"/>
          <w:lang w:val="en-US" w:eastAsia="zh-CN" w:bidi="en-US"/>
        </w:rPr>
        <w:t>-WL</w:t>
      </w: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 xml:space="preserve"> 有机硅粘接密封胶是一类高强度密封粘接用单组份室温固化硅橡胶，本产品具有良好的粘接性。固化后拉伸强度大，粘结性好，长期使用不会脱落，不会产生接触缝隙。中性无腐蚀、绝缘性优、防潮、抗震、耐电晕、抗漏电。胶料对金属和大多数塑料的粘接性良好，固化后具有卓越的耐温性能,可在-50~250℃长期使用。</w:t>
      </w:r>
    </w:p>
    <w:p>
      <w:pPr>
        <w:pStyle w:val="3"/>
        <w:widowControl/>
        <w:autoSpaceDE/>
        <w:autoSpaceDN/>
        <w:spacing w:before="102" w:after="0" w:line="240" w:lineRule="auto"/>
        <w:ind w:left="339" w:leftChars="154" w:right="114" w:firstLine="198" w:firstLineChars="90"/>
        <w:jc w:val="both"/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sectPr>
          <w:type w:val="continuous"/>
          <w:pgSz w:w="11910" w:h="16840"/>
          <w:pgMar w:top="400" w:right="1580" w:bottom="280" w:left="580" w:header="720" w:footer="720" w:gutter="0"/>
          <w:cols w:equalWidth="0" w:num="1">
            <w:col w:w="9750"/>
          </w:cols>
        </w:sectPr>
      </w:pPr>
      <w:bookmarkStart w:id="1" w:name="_GoBack"/>
      <w:bookmarkEnd w:id="1"/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特性和优点</w:t>
      </w:r>
    </w:p>
    <w:p>
      <w:pPr>
        <w:pStyle w:val="7"/>
        <w:widowControl/>
        <w:numPr>
          <w:ilvl w:val="0"/>
          <w:numId w:val="1"/>
        </w:numPr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不起雾，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对各类材质粘接强度高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对基材无腐蚀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固化快，定位快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使用温度-50℃~200℃</w:t>
      </w:r>
    </w:p>
    <w:p>
      <w:pPr>
        <w:pStyle w:val="3"/>
        <w:rPr>
          <w:sz w:val="26"/>
        </w:rPr>
      </w:pPr>
    </w:p>
    <w:p>
      <w:pPr>
        <w:widowControl/>
        <w:autoSpaceDE/>
        <w:autoSpaceDN/>
        <w:spacing w:before="39" w:after="0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产品应用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粘接固定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灯具组件粘接</w:t>
      </w:r>
    </w:p>
    <w:p>
      <w:pPr>
        <w:pStyle w:val="7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5" w:after="0" w:line="240" w:lineRule="auto"/>
        <w:ind w:left="294" w:right="0" w:hanging="143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各类壳体粘接密封</w:t>
      </w:r>
    </w:p>
    <w:p>
      <w:pPr>
        <w:pStyle w:val="3"/>
        <w:rPr>
          <w:sz w:val="26"/>
        </w:rPr>
      </w:pPr>
    </w:p>
    <w:p>
      <w:pPr>
        <w:pStyle w:val="3"/>
        <w:spacing w:before="11"/>
        <w:rPr>
          <w:sz w:val="18"/>
        </w:rPr>
      </w:pPr>
    </w:p>
    <w:p>
      <w:pPr>
        <w:spacing w:before="112"/>
        <w:ind w:left="220" w:leftChars="0" w:right="0" w:firstLine="0" w:firstLineChars="0"/>
        <w:jc w:val="left"/>
        <w:rPr>
          <w:sz w:val="24"/>
          <w:szCs w:val="21"/>
        </w:rPr>
      </w:pPr>
      <w:r>
        <w:rPr>
          <w:sz w:val="24"/>
          <w:szCs w:val="21"/>
        </w:rPr>
        <w:t>产品典型性能参数</w:t>
      </w:r>
    </w:p>
    <w:p>
      <w:pPr>
        <w:pStyle w:val="3"/>
        <w:spacing w:before="7"/>
        <w:rPr>
          <w:sz w:val="10"/>
        </w:rPr>
      </w:pPr>
    </w:p>
    <w:tbl>
      <w:tblPr>
        <w:tblStyle w:val="5"/>
        <w:tblW w:w="4642" w:type="dxa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444"/>
        <w:gridCol w:w="1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性能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  <w:lang w:val="en-US" w:eastAsia="zh-CN"/>
              </w:rPr>
              <w:t>M</w:t>
            </w:r>
            <w:r>
              <w:rPr>
                <w:rFonts w:hint="eastAsia" w:ascii="楷体" w:eastAsia="楷体" w:cs="Times New Roman"/>
                <w:sz w:val="18"/>
                <w:lang w:val="en-US" w:eastAsia="zh-CN"/>
              </w:rPr>
              <w:t>R</w:t>
            </w:r>
            <w:r>
              <w:rPr>
                <w:rFonts w:hint="eastAsia" w:ascii="楷体" w:hAnsi="Times New Roman" w:eastAsia="楷体" w:cs="Times New Roman"/>
                <w:sz w:val="18"/>
              </w:rPr>
              <w:t>6136-WL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测试标准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4642" w:type="dxa"/>
            <w:gridSpan w:val="3"/>
            <w:shd w:val="clear" w:color="auto" w:fill="33CC33"/>
          </w:tcPr>
          <w:p>
            <w:pPr>
              <w:pStyle w:val="8"/>
              <w:spacing w:before="52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未固化性能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颜色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白色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外观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半流淌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目视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642" w:type="dxa"/>
            <w:gridSpan w:val="3"/>
            <w:shd w:val="clear" w:color="auto" w:fill="33CC33"/>
          </w:tcPr>
          <w:p>
            <w:pPr>
              <w:pStyle w:val="8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操作性能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表干时间/min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≤10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固化时间/h@25℃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24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点胶厚度 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642" w:type="dxa"/>
            <w:gridSpan w:val="3"/>
            <w:shd w:val="clear" w:color="auto" w:fill="33CC33"/>
          </w:tcPr>
          <w:p>
            <w:pPr>
              <w:pStyle w:val="8"/>
              <w:spacing w:before="55"/>
              <w:ind w:left="369"/>
              <w:jc w:val="left"/>
              <w:rPr>
                <w:rFonts w:hint="eastAsia" w:ascii="楷体" w:eastAsia="楷体"/>
                <w:sz w:val="18"/>
              </w:rPr>
            </w:pPr>
            <w:r>
              <w:rPr>
                <w:rFonts w:hint="eastAsia" w:ascii="楷体" w:eastAsia="楷体"/>
                <w:sz w:val="18"/>
              </w:rPr>
              <w:t>固化后性能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硬度/邵 A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30±5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D2240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比重 g/cm3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1.21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D572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抗拉强度/MPa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&gt;1.5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粘接强度/MPa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＞2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D3528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介电强度/kV/mm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&gt;20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D149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05" w:type="dxa"/>
            <w:tcBorders>
              <w:right w:val="nil"/>
            </w:tcBorders>
          </w:tcPr>
          <w:p>
            <w:pPr>
              <w:pStyle w:val="8"/>
              <w:ind w:right="150"/>
              <w:rPr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体积电阻率/Ω·cm</w:t>
            </w:r>
          </w:p>
        </w:tc>
        <w:tc>
          <w:tcPr>
            <w:tcW w:w="1444" w:type="dxa"/>
            <w:tcBorders>
              <w:left w:val="nil"/>
              <w:right w:val="nil"/>
            </w:tcBorders>
          </w:tcPr>
          <w:p>
            <w:pPr>
              <w:pStyle w:val="8"/>
              <w:spacing w:before="59"/>
              <w:ind w:left="147" w:right="108"/>
              <w:rPr>
                <w:sz w:val="11"/>
              </w:rPr>
            </w:pPr>
            <w:r>
              <w:rPr>
                <w:sz w:val="18"/>
              </w:rPr>
              <w:t xml:space="preserve">&gt;10 </w:t>
            </w:r>
            <w:r>
              <w:rPr>
                <w:position w:val="6"/>
                <w:sz w:val="11"/>
              </w:rPr>
              <w:t>15</w:t>
            </w: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8"/>
              <w:ind w:left="105"/>
              <w:rPr>
                <w:rFonts w:hint="eastAsia" w:ascii="楷体" w:hAnsi="Times New Roman" w:eastAsia="楷体" w:cs="Times New Roman"/>
                <w:sz w:val="18"/>
              </w:rPr>
            </w:pPr>
            <w:r>
              <w:rPr>
                <w:rFonts w:hint="eastAsia" w:ascii="楷体" w:hAnsi="Times New Roman" w:eastAsia="楷体" w:cs="Times New Roman"/>
                <w:sz w:val="18"/>
              </w:rPr>
              <w:t>ASTM D257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top="840" w:right="990" w:bottom="280" w:left="1020" w:header="720" w:footer="720" w:gutter="0"/>
          <w:cols w:equalWidth="0" w:num="2">
            <w:col w:w="3882" w:space="490"/>
            <w:col w:w="5528"/>
          </w:cols>
        </w:sectPr>
      </w:pP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应用方法</w:t>
      </w:r>
    </w:p>
    <w:p>
      <w:pPr>
        <w:pStyle w:val="7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891" w:rightChars="405" w:firstLine="440" w:firstLineChars="2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将被粘或被涂覆物表面整理干净，除去锈迹、灰尘和油污等。先用盖帽尖端刺破胶管封口，套上尖嘴，将胶液挤到已清理干净的表面，使之分布均匀，将被粘面合拢固定即可。将涂装好的部件置于空气中，室温固化 24 小时后即可投入使用。操作完成后，未用完的胶应立即拧紧盖帽，密封保存。再次使用时，若封口处有少许结皮，将其去除即可，不影响正常使用。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注意事项</w:t>
      </w:r>
    </w:p>
    <w:p>
      <w:pPr>
        <w:pStyle w:val="7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0" w:rightChars="0" w:firstLine="440" w:firstLineChars="2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1、远离儿童存放。</w:t>
      </w:r>
    </w:p>
    <w:p>
      <w:pPr>
        <w:pStyle w:val="7"/>
        <w:numPr>
          <w:ilvl w:val="0"/>
          <w:numId w:val="0"/>
        </w:numPr>
        <w:tabs>
          <w:tab w:val="left" w:pos="295"/>
        </w:tabs>
        <w:spacing w:before="5" w:after="0" w:line="240" w:lineRule="auto"/>
        <w:ind w:left="440" w:leftChars="200" w:right="-810" w:rightChars="-368" w:firstLine="0" w:firstLineChars="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2、若不慎接触皮肤，擦拭干净，然后用清水冲洗。若不慎接触眼睛，立即用清水冲洗并到医院检查。</w:t>
      </w:r>
    </w:p>
    <w:p>
      <w:pPr>
        <w:pStyle w:val="7"/>
        <w:numPr>
          <w:ilvl w:val="0"/>
          <w:numId w:val="0"/>
        </w:numPr>
        <w:tabs>
          <w:tab w:val="left" w:pos="295"/>
        </w:tabs>
        <w:spacing w:before="5" w:after="0" w:line="240" w:lineRule="auto"/>
        <w:ind w:right="0" w:rightChars="0" w:firstLine="440" w:firstLineChars="200"/>
        <w:jc w:val="left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3、建议在通风良好处使用。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包装规格</w:t>
      </w:r>
    </w:p>
    <w:p>
      <w:pPr>
        <w:pStyle w:val="3"/>
        <w:spacing w:before="153"/>
        <w:ind w:left="220" w:leftChars="0" w:firstLine="220" w:firstLineChars="100"/>
        <w:rPr>
          <w:rFonts w:hint="eastAsia" w:ascii="楷体" w:hAnsi="楷体" w:eastAsia="楷体" w:cs="楷体"/>
          <w:sz w:val="22"/>
          <w:szCs w:val="21"/>
          <w:lang w:val="en-US" w:eastAsia="zh-CN" w:bidi="en-US"/>
        </w:rPr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300ml/支，24 支/箱；100ml/支，100 支/箱。2.6L/支，4 支/箱。</w:t>
      </w: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</w:p>
    <w:p>
      <w:pPr>
        <w:spacing w:before="39" w:line="240" w:lineRule="auto"/>
        <w:ind w:right="140"/>
        <w:jc w:val="left"/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sz w:val="24"/>
          <w:szCs w:val="22"/>
          <w:lang w:val="en-US" w:eastAsia="zh-CN" w:bidi="en-US"/>
        </w:rPr>
        <w:t>储存</w:t>
      </w:r>
    </w:p>
    <w:p>
      <w:pPr>
        <w:pStyle w:val="3"/>
        <w:spacing w:before="153"/>
        <w:ind w:left="221" w:leftChars="0" w:firstLine="217" w:firstLineChars="99"/>
      </w:pPr>
      <w:r>
        <w:rPr>
          <w:rFonts w:hint="eastAsia" w:ascii="楷体" w:hAnsi="楷体" w:eastAsia="楷体" w:cs="楷体"/>
          <w:sz w:val="22"/>
          <w:szCs w:val="21"/>
          <w:lang w:val="en-US" w:eastAsia="zh-CN" w:bidi="en-US"/>
        </w:rPr>
        <w:t>在 30℃以下于阴凉干燥处密封保存。产品保质期为自生产日期后六个月。按一般化学品搬运、运输。</w:t>
      </w:r>
    </w:p>
    <w:sectPr>
      <w:type w:val="continuous"/>
      <w:pgSz w:w="11910" w:h="16840"/>
      <w:pgMar w:top="839" w:right="278" w:bottom="278" w:left="839" w:header="720" w:footer="720" w:gutter="0"/>
      <w:cols w:equalWidth="0" w:num="1">
        <w:col w:w="953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447822">
    <w:nsid w:val="0053208E"/>
    <w:multiLevelType w:val="multilevel"/>
    <w:tmpl w:val="0053208E"/>
    <w:lvl w:ilvl="0" w:tentative="1">
      <w:start w:val="0"/>
      <w:numFmt w:val="bullet"/>
      <w:lvlText w:val="•"/>
      <w:lvlJc w:val="left"/>
      <w:pPr>
        <w:ind w:left="294" w:hanging="142"/>
      </w:pPr>
      <w:rPr>
        <w:rFonts w:hint="default" w:ascii="宋体" w:hAnsi="宋体" w:eastAsia="宋体" w:cs="宋体"/>
        <w:spacing w:val="1"/>
        <w:w w:val="100"/>
        <w:sz w:val="26"/>
        <w:szCs w:val="26"/>
        <w:lang w:val="en-US" w:eastAsia="en-US" w:bidi="en-US"/>
      </w:rPr>
    </w:lvl>
    <w:lvl w:ilvl="1" w:tentative="1">
      <w:start w:val="0"/>
      <w:numFmt w:val="bullet"/>
      <w:lvlText w:val="•"/>
      <w:lvlJc w:val="left"/>
      <w:pPr>
        <w:ind w:left="1272" w:hanging="142"/>
      </w:pPr>
      <w:rPr>
        <w:rFonts w:hint="default"/>
        <w:lang w:val="en-US" w:eastAsia="en-US" w:bidi="en-US"/>
      </w:rPr>
    </w:lvl>
    <w:lvl w:ilvl="2" w:tentative="1">
      <w:start w:val="0"/>
      <w:numFmt w:val="bullet"/>
      <w:lvlText w:val="•"/>
      <w:lvlJc w:val="left"/>
      <w:pPr>
        <w:ind w:left="2245" w:hanging="142"/>
      </w:pPr>
      <w:rPr>
        <w:rFonts w:hint="default"/>
        <w:lang w:val="en-US" w:eastAsia="en-US" w:bidi="en-US"/>
      </w:rPr>
    </w:lvl>
    <w:lvl w:ilvl="3" w:tentative="1">
      <w:start w:val="0"/>
      <w:numFmt w:val="bullet"/>
      <w:lvlText w:val="•"/>
      <w:lvlJc w:val="left"/>
      <w:pPr>
        <w:ind w:left="3217" w:hanging="142"/>
      </w:pPr>
      <w:rPr>
        <w:rFonts w:hint="default"/>
        <w:lang w:val="en-US" w:eastAsia="en-US" w:bidi="en-US"/>
      </w:rPr>
    </w:lvl>
    <w:lvl w:ilvl="4" w:tentative="1">
      <w:start w:val="0"/>
      <w:numFmt w:val="bullet"/>
      <w:lvlText w:val="•"/>
      <w:lvlJc w:val="left"/>
      <w:pPr>
        <w:ind w:left="4190" w:hanging="142"/>
      </w:pPr>
      <w:rPr>
        <w:rFonts w:hint="default"/>
        <w:lang w:val="en-US" w:eastAsia="en-US" w:bidi="en-US"/>
      </w:rPr>
    </w:lvl>
    <w:lvl w:ilvl="5" w:tentative="1">
      <w:start w:val="0"/>
      <w:numFmt w:val="bullet"/>
      <w:lvlText w:val="•"/>
      <w:lvlJc w:val="left"/>
      <w:pPr>
        <w:ind w:left="5163" w:hanging="142"/>
      </w:pPr>
      <w:rPr>
        <w:rFonts w:hint="default"/>
        <w:lang w:val="en-US" w:eastAsia="en-US" w:bidi="en-US"/>
      </w:rPr>
    </w:lvl>
    <w:lvl w:ilvl="6" w:tentative="1">
      <w:start w:val="0"/>
      <w:numFmt w:val="bullet"/>
      <w:lvlText w:val="•"/>
      <w:lvlJc w:val="left"/>
      <w:pPr>
        <w:ind w:left="6135" w:hanging="142"/>
      </w:pPr>
      <w:rPr>
        <w:rFonts w:hint="default"/>
        <w:lang w:val="en-US" w:eastAsia="en-US" w:bidi="en-US"/>
      </w:rPr>
    </w:lvl>
    <w:lvl w:ilvl="7" w:tentative="1">
      <w:start w:val="0"/>
      <w:numFmt w:val="bullet"/>
      <w:lvlText w:val="•"/>
      <w:lvlJc w:val="left"/>
      <w:pPr>
        <w:ind w:left="7108" w:hanging="142"/>
      </w:pPr>
      <w:rPr>
        <w:rFonts w:hint="default"/>
        <w:lang w:val="en-US" w:eastAsia="en-US" w:bidi="en-US"/>
      </w:rPr>
    </w:lvl>
    <w:lvl w:ilvl="8" w:tentative="1">
      <w:start w:val="0"/>
      <w:numFmt w:val="bullet"/>
      <w:lvlText w:val="•"/>
      <w:lvlJc w:val="left"/>
      <w:pPr>
        <w:ind w:left="8081" w:hanging="142"/>
      </w:pPr>
      <w:rPr>
        <w:rFonts w:hint="default"/>
        <w:lang w:val="en-US" w:eastAsia="en-US" w:bidi="en-US"/>
      </w:rPr>
    </w:lvl>
  </w:abstractNum>
  <w:num w:numId="1">
    <w:abstractNumId w:val="54478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248CB"/>
    <w:rsid w:val="2B230B64"/>
    <w:rsid w:val="2B756F86"/>
    <w:rsid w:val="4D123532"/>
    <w:rsid w:val="7B8411A1"/>
    <w:rsid w:val="7BD17C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2"/>
      <w:ind w:left="121"/>
      <w:outlineLvl w:val="1"/>
    </w:pPr>
    <w:rPr>
      <w:rFonts w:ascii="楷体" w:hAnsi="楷体" w:eastAsia="楷体" w:cs="楷体"/>
      <w:sz w:val="28"/>
      <w:szCs w:val="28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楷体" w:hAnsi="楷体" w:eastAsia="楷体" w:cs="楷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"/>
      <w:ind w:left="782" w:hanging="86"/>
    </w:pPr>
    <w:rPr>
      <w:rFonts w:ascii="楷体" w:hAnsi="楷体" w:eastAsia="楷体" w:cs="楷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50"/>
      <w:ind w:left="9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2020-04-08T05:59:00Z</dcterms:created>
  <dc:creator>Administrator</dc:creator>
  <cp:lastModifiedBy>Administrator</cp:lastModifiedBy>
  <dcterms:modified xsi:type="dcterms:W3CDTF">2020-04-21T03:18:46Z</dcterms:modified>
  <dc:title>TBL-6136-WL产品TDS.doc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TBL-6136-WL产品TDS.doc - WPS 2019</vt:lpwstr>
  </property>
  <property fmtid="{D5CDD505-2E9C-101B-9397-08002B2CF9AE}" pid="4" name="LastSaved">
    <vt:filetime>2020-04-08T00:00:00Z</vt:filetime>
  </property>
  <property fmtid="{D5CDD505-2E9C-101B-9397-08002B2CF9AE}" pid="5" name="KSOProductBuildVer">
    <vt:lpwstr>2052-10.8.0.5391</vt:lpwstr>
  </property>
</Properties>
</file>