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ind w:left="-868" w:leftChars="-400" w:hanging="12" w:hangingChars="5"/>
        <w:rPr>
          <w:rFonts w:ascii="Times New Roman"/>
          <w:sz w:val="20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drawing>
          <wp:inline distT="0" distB="0" distL="114300" distR="114300">
            <wp:extent cx="6610350" cy="1403350"/>
            <wp:effectExtent l="0" t="0" r="0" b="6350"/>
            <wp:docPr id="7" name="图片 2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楷体" w:hAnsi="楷体" w:eastAsia="楷体" w:cs="楷体"/>
          <w:b/>
          <w:bCs/>
          <w:sz w:val="32"/>
          <w:szCs w:val="28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32"/>
          <w:szCs w:val="28"/>
          <w:lang w:val="en-US" w:eastAsia="zh-CN" w:bidi="en-US"/>
        </w:rPr>
        <w:t xml:space="preserve">MSK有机硅粘接密封胶MR6531 </w:t>
      </w:r>
    </w:p>
    <w:p>
      <w:pPr>
        <w:widowControl/>
        <w:autoSpaceDE/>
        <w:autoSpaceDN/>
        <w:spacing w:before="39" w:after="0" w:line="240" w:lineRule="auto"/>
        <w:ind w:left="-878" w:leftChars="-407" w:right="140" w:hanging="17" w:hangingChars="7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-878" w:leftChars="-407" w:right="140" w:hanging="17" w:hangingChars="7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产品描述</w:t>
      </w:r>
    </w:p>
    <w:p>
      <w:pPr>
        <w:pStyle w:val="3"/>
        <w:spacing w:before="102" w:line="278" w:lineRule="auto"/>
        <w:ind w:left="-879" w:leftChars="0" w:right="-590" w:rightChars="0" w:firstLine="659" w:firstLineChars="0"/>
      </w:pPr>
      <w:r>
        <w:rPr>
          <w:rFonts w:hint="eastAsia" w:ascii="Times New Roman" w:hAnsi="Times New Roman" w:eastAsia="宋体"/>
          <w:lang w:val="en-US" w:eastAsia="zh-CN"/>
        </w:rPr>
        <w:t>MR</w:t>
      </w:r>
      <w:r>
        <w:rPr>
          <w:rFonts w:ascii="Times New Roman" w:hAnsi="Times New Roman" w:eastAsia="Times New Roman"/>
        </w:rPr>
        <w:t>6531</w:t>
      </w:r>
      <w:r>
        <w:rPr>
          <w:rFonts w:hint="eastAsia" w:ascii="楷体" w:hAnsi="楷体" w:eastAsia="楷体" w:cs="楷体"/>
          <w:lang w:eastAsia="zh-CN"/>
        </w:rPr>
        <w:t>有机硅粘接密封胶</w:t>
      </w:r>
      <w:r>
        <w:rPr>
          <w:spacing w:val="-5"/>
        </w:rPr>
        <w:t>是一种单组份室温固化有机硅胶粘剂</w:t>
      </w:r>
      <w:r>
        <w:rPr>
          <w:rFonts w:hint="eastAsia"/>
          <w:spacing w:val="-5"/>
          <w:lang w:eastAsia="zh-CN"/>
        </w:rPr>
        <w:t>，</w:t>
      </w:r>
      <w:r>
        <w:rPr>
          <w:spacing w:val="-5"/>
        </w:rPr>
        <w:t>本产品具有良好的粘接性。胶膜固化</w:t>
      </w:r>
      <w:r>
        <w:rPr>
          <w:spacing w:val="-16"/>
          <w:w w:val="95"/>
        </w:rPr>
        <w:t>后拉伸强度大，粘结性好，长期使用不会脱落，不会产生接触缝隙。中性无腐蚀、绝缘性优、</w:t>
      </w:r>
      <w:r>
        <w:rPr>
          <w:spacing w:val="-12"/>
        </w:rPr>
        <w:t>防潮、抗震、耐电晕、抗漏电。胶料对金属和大多数塑料的粘接性良好，固化后具有卓越的耐温性能</w:t>
      </w:r>
      <w:r>
        <w:rPr>
          <w:rFonts w:ascii="Times New Roman" w:hAnsi="Times New Roman" w:eastAsia="Times New Roman"/>
          <w:spacing w:val="-12"/>
        </w:rPr>
        <w:t>,</w:t>
      </w:r>
      <w:r>
        <w:rPr>
          <w:spacing w:val="-12"/>
        </w:rPr>
        <w:t>可在</w:t>
      </w:r>
      <w:r>
        <w:rPr>
          <w:rFonts w:ascii="Times New Roman" w:hAnsi="Times New Roman" w:eastAsia="Times New Roman"/>
          <w:spacing w:val="-12"/>
        </w:rPr>
        <w:t>-50~250</w:t>
      </w:r>
      <w:r>
        <w:rPr>
          <w:spacing w:val="-12"/>
        </w:rPr>
        <w:t>℃长期使用。</w:t>
      </w:r>
    </w:p>
    <w:p>
      <w:pPr>
        <w:spacing w:after="0" w:line="278" w:lineRule="auto"/>
        <w:sectPr>
          <w:type w:val="continuous"/>
          <w:pgSz w:w="11910" w:h="16840"/>
          <w:pgMar w:top="180" w:right="1580" w:bottom="280" w:left="1680" w:header="720" w:footer="720" w:gutter="0"/>
        </w:sectPr>
      </w:pPr>
    </w:p>
    <w:p>
      <w:pPr>
        <w:widowControl/>
        <w:autoSpaceDE/>
        <w:autoSpaceDN/>
        <w:spacing w:before="39" w:after="0" w:line="240" w:lineRule="auto"/>
        <w:ind w:left="-878" w:leftChars="-407" w:right="140" w:hanging="17" w:hangingChars="7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-878" w:leftChars="-407" w:right="140" w:hanging="17" w:hangingChars="7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特性和优点</w:t>
      </w:r>
    </w:p>
    <w:p>
      <w:pPr>
        <w:pStyle w:val="7"/>
        <w:widowControl/>
        <w:numPr>
          <w:ilvl w:val="0"/>
          <w:numId w:val="1"/>
        </w:numPr>
        <w:autoSpaceDE/>
        <w:autoSpaceDN/>
        <w:spacing w:before="5" w:after="0" w:line="240" w:lineRule="auto"/>
        <w:ind w:left="-440" w:leftChars="-300" w:right="0" w:hanging="220" w:hangingChars="10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快速表干，室温固化</w:t>
      </w:r>
    </w:p>
    <w:p>
      <w:pPr>
        <w:pStyle w:val="7"/>
        <w:widowControl/>
        <w:numPr>
          <w:ilvl w:val="0"/>
          <w:numId w:val="1"/>
        </w:numPr>
        <w:autoSpaceDE/>
        <w:autoSpaceDN/>
        <w:spacing w:before="5" w:after="0" w:line="240" w:lineRule="auto"/>
        <w:ind w:left="-440" w:leftChars="-300" w:right="0" w:hanging="220" w:hangingChars="10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粘接强度高</w:t>
      </w:r>
    </w:p>
    <w:p>
      <w:pPr>
        <w:pStyle w:val="7"/>
        <w:widowControl/>
        <w:numPr>
          <w:ilvl w:val="0"/>
          <w:numId w:val="1"/>
        </w:numPr>
        <w:autoSpaceDE/>
        <w:autoSpaceDN/>
        <w:spacing w:before="5" w:after="0" w:line="240" w:lineRule="auto"/>
        <w:ind w:left="-440" w:leftChars="-300" w:right="0" w:hanging="220" w:hangingChars="10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对基材无腐蚀</w:t>
      </w:r>
    </w:p>
    <w:p>
      <w:pPr>
        <w:pStyle w:val="7"/>
        <w:widowControl/>
        <w:numPr>
          <w:ilvl w:val="0"/>
          <w:numId w:val="1"/>
        </w:numPr>
        <w:autoSpaceDE/>
        <w:autoSpaceDN/>
        <w:spacing w:before="5" w:after="0" w:line="240" w:lineRule="auto"/>
        <w:ind w:left="-440" w:leftChars="-300" w:right="0" w:hanging="220" w:hangingChars="10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使用温度-50℃~200℃</w:t>
      </w:r>
    </w:p>
    <w:p>
      <w:pPr>
        <w:pStyle w:val="3"/>
        <w:rPr>
          <w:sz w:val="26"/>
        </w:rPr>
      </w:pPr>
    </w:p>
    <w:p>
      <w:pPr>
        <w:widowControl/>
        <w:autoSpaceDE/>
        <w:autoSpaceDN/>
        <w:spacing w:before="39" w:after="0" w:line="240" w:lineRule="auto"/>
        <w:ind w:left="-878" w:leftChars="-407" w:right="140" w:hanging="17" w:hangingChars="7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cs="楷体"/>
          <w:b/>
          <w:bCs/>
          <w:sz w:val="24"/>
          <w:szCs w:val="22"/>
          <w:lang w:val="en-US" w:eastAsia="zh-CN" w:bidi="en-US"/>
        </w:rPr>
        <w:t>产品</w:t>
      </w: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应用</w:t>
      </w:r>
    </w:p>
    <w:p>
      <w:pPr>
        <w:pStyle w:val="7"/>
        <w:widowControl/>
        <w:numPr>
          <w:ilvl w:val="0"/>
          <w:numId w:val="1"/>
        </w:numPr>
        <w:autoSpaceDE/>
        <w:autoSpaceDN/>
        <w:spacing w:before="5" w:after="0" w:line="240" w:lineRule="auto"/>
        <w:ind w:left="-440" w:leftChars="-300" w:right="0" w:hanging="220" w:hangingChars="10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粘接固定</w:t>
      </w:r>
      <w:bookmarkStart w:id="0" w:name="_GoBack"/>
      <w:bookmarkEnd w:id="0"/>
    </w:p>
    <w:p>
      <w:pPr>
        <w:pStyle w:val="7"/>
        <w:widowControl/>
        <w:numPr>
          <w:ilvl w:val="0"/>
          <w:numId w:val="1"/>
        </w:numPr>
        <w:autoSpaceDE/>
        <w:autoSpaceDN/>
        <w:spacing w:before="5" w:after="0" w:line="240" w:lineRule="auto"/>
        <w:ind w:left="-440" w:leftChars="-300" w:right="0" w:hanging="220" w:hangingChars="10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PCB 板元件固定</w:t>
      </w:r>
    </w:p>
    <w:p>
      <w:pPr>
        <w:pStyle w:val="7"/>
        <w:widowControl/>
        <w:numPr>
          <w:ilvl w:val="0"/>
          <w:numId w:val="1"/>
        </w:numPr>
        <w:autoSpaceDE/>
        <w:autoSpaceDN/>
        <w:spacing w:before="5" w:after="0" w:line="240" w:lineRule="auto"/>
        <w:ind w:left="-440" w:leftChars="-300" w:right="0" w:hanging="220" w:hangingChars="10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LED 灯具粘接固定</w:t>
      </w:r>
    </w:p>
    <w:p>
      <w:pPr>
        <w:pStyle w:val="7"/>
        <w:widowControl/>
        <w:numPr>
          <w:ilvl w:val="0"/>
          <w:numId w:val="1"/>
        </w:numPr>
        <w:autoSpaceDE/>
        <w:autoSpaceDN/>
        <w:spacing w:before="5" w:after="0" w:line="240" w:lineRule="auto"/>
        <w:ind w:left="-440" w:leftChars="-300" w:right="0" w:hanging="220" w:hangingChars="10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防潮密封</w:t>
      </w:r>
    </w:p>
    <w:p>
      <w:pPr>
        <w:pStyle w:val="3"/>
        <w:spacing w:before="8"/>
        <w:rPr>
          <w:sz w:val="38"/>
        </w:rPr>
      </w:pPr>
    </w:p>
    <w:p>
      <w:pPr>
        <w:widowControl/>
        <w:autoSpaceDE/>
        <w:autoSpaceDN/>
        <w:spacing w:before="39" w:after="0" w:line="240" w:lineRule="auto"/>
        <w:ind w:left="-878" w:leftChars="-407" w:right="140" w:hanging="17" w:hangingChars="7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应用方法</w:t>
      </w:r>
    </w:p>
    <w:p>
      <w:pPr>
        <w:spacing w:before="112"/>
        <w:ind w:left="676" w:right="0" w:firstLine="0"/>
        <w:jc w:val="left"/>
      </w:pPr>
      <w:r>
        <w:br w:type="column"/>
      </w:r>
    </w:p>
    <w:p>
      <w:pPr>
        <w:spacing w:before="112"/>
        <w:ind w:left="279" w:leftChars="127" w:right="0" w:firstLine="263" w:firstLineChars="94"/>
        <w:jc w:val="left"/>
        <w:rPr>
          <w:sz w:val="28"/>
        </w:rPr>
      </w:pPr>
      <w:r>
        <w:rPr>
          <w:sz w:val="28"/>
        </w:rPr>
        <w:t>产品典型性能参数</w:t>
      </w:r>
    </w:p>
    <w:p>
      <w:pPr>
        <w:pStyle w:val="3"/>
        <w:spacing w:before="7"/>
        <w:rPr>
          <w:sz w:val="10"/>
        </w:rPr>
      </w:pPr>
    </w:p>
    <w:tbl>
      <w:tblPr>
        <w:tblStyle w:val="5"/>
        <w:tblW w:w="5029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8"/>
        <w:gridCol w:w="1462"/>
        <w:gridCol w:w="1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878" w:type="dxa"/>
            <w:tcBorders>
              <w:right w:val="nil"/>
            </w:tcBorders>
          </w:tcPr>
          <w:p>
            <w:pPr>
              <w:pStyle w:val="8"/>
              <w:spacing w:before="48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性能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8"/>
              <w:spacing w:before="48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  <w:lang w:val="en-US" w:eastAsia="zh-CN"/>
              </w:rPr>
              <w:t>M</w:t>
            </w:r>
            <w:r>
              <w:rPr>
                <w:rFonts w:hint="eastAsia" w:ascii="楷体" w:eastAsia="楷体" w:cs="Times New Roman"/>
                <w:sz w:val="18"/>
                <w:lang w:val="en-US" w:eastAsia="zh-CN"/>
              </w:rPr>
              <w:t>R</w:t>
            </w:r>
            <w:r>
              <w:rPr>
                <w:rFonts w:hint="eastAsia" w:ascii="楷体" w:hAnsi="Times New Roman" w:eastAsia="楷体" w:cs="Times New Roman"/>
                <w:sz w:val="18"/>
              </w:rPr>
              <w:t>6531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8"/>
              <w:spacing w:before="48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测试标准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029" w:type="dxa"/>
            <w:gridSpan w:val="3"/>
            <w:shd w:val="clear" w:color="auto" w:fill="33CC33"/>
          </w:tcPr>
          <w:p>
            <w:pPr>
              <w:pStyle w:val="8"/>
              <w:spacing w:before="52"/>
              <w:ind w:left="369"/>
              <w:jc w:val="left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未固化性能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878" w:type="dxa"/>
            <w:tcBorders>
              <w:right w:val="nil"/>
            </w:tcBorders>
          </w:tcPr>
          <w:p>
            <w:pPr>
              <w:pStyle w:val="8"/>
              <w:spacing w:before="48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颜色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8"/>
              <w:spacing w:before="48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半透明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8"/>
              <w:spacing w:before="48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目视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878" w:type="dxa"/>
            <w:tcBorders>
              <w:right w:val="nil"/>
            </w:tcBorders>
          </w:tcPr>
          <w:p>
            <w:pPr>
              <w:pStyle w:val="8"/>
              <w:spacing w:before="48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外观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8"/>
              <w:spacing w:before="48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半流淌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8"/>
              <w:spacing w:before="48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目视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029" w:type="dxa"/>
            <w:gridSpan w:val="3"/>
            <w:shd w:val="clear" w:color="auto" w:fill="33CC33"/>
          </w:tcPr>
          <w:p>
            <w:pPr>
              <w:pStyle w:val="8"/>
              <w:spacing w:before="55"/>
              <w:ind w:left="369"/>
              <w:jc w:val="left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操作性能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878" w:type="dxa"/>
            <w:tcBorders>
              <w:right w:val="nil"/>
            </w:tcBorders>
          </w:tcPr>
          <w:p>
            <w:pPr>
              <w:pStyle w:val="8"/>
              <w:spacing w:before="48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表干时间/min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8"/>
              <w:spacing w:before="48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&lt;15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8"/>
              <w:spacing w:before="48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878" w:type="dxa"/>
            <w:tcBorders>
              <w:right w:val="nil"/>
            </w:tcBorders>
          </w:tcPr>
          <w:p>
            <w:pPr>
              <w:pStyle w:val="8"/>
              <w:spacing w:before="48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固化时间/h@25℃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8"/>
              <w:spacing w:before="48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24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8"/>
              <w:spacing w:before="48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点胶厚度 2mm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5029" w:type="dxa"/>
            <w:gridSpan w:val="3"/>
            <w:shd w:val="clear" w:color="auto" w:fill="33CC33"/>
          </w:tcPr>
          <w:p>
            <w:pPr>
              <w:pStyle w:val="8"/>
              <w:spacing w:before="55"/>
              <w:ind w:left="369"/>
              <w:jc w:val="left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固化后性能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878" w:type="dxa"/>
            <w:tcBorders>
              <w:right w:val="nil"/>
            </w:tcBorders>
          </w:tcPr>
          <w:p>
            <w:pPr>
              <w:pStyle w:val="8"/>
              <w:spacing w:before="48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硬度/邵 A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8"/>
              <w:spacing w:before="48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25±2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8"/>
              <w:spacing w:before="48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ASTM D2240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878" w:type="dxa"/>
            <w:tcBorders>
              <w:right w:val="nil"/>
            </w:tcBorders>
          </w:tcPr>
          <w:p>
            <w:pPr>
              <w:pStyle w:val="8"/>
              <w:spacing w:before="48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剪切强度/MPa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8"/>
              <w:spacing w:before="48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sz w:val="18"/>
              </w:rPr>
              <w:t>&gt;</w:t>
            </w:r>
            <w:r>
              <w:rPr>
                <w:rFonts w:hint="eastAsia" w:ascii="楷体" w:hAnsi="Times New Roman" w:eastAsia="楷体" w:cs="Times New Roman"/>
                <w:sz w:val="18"/>
              </w:rPr>
              <w:t>1.0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8"/>
              <w:spacing w:before="48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ASTM D3528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878" w:type="dxa"/>
            <w:tcBorders>
              <w:right w:val="nil"/>
            </w:tcBorders>
          </w:tcPr>
          <w:p>
            <w:pPr>
              <w:pStyle w:val="8"/>
              <w:spacing w:before="48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介电强度/kV/mm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8"/>
              <w:spacing w:before="48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sz w:val="18"/>
              </w:rPr>
              <w:t>&gt;</w:t>
            </w:r>
            <w:r>
              <w:rPr>
                <w:rFonts w:hint="eastAsia" w:ascii="楷体" w:hAnsi="Times New Roman" w:eastAsia="楷体" w:cs="Times New Roman"/>
                <w:sz w:val="18"/>
              </w:rPr>
              <w:t>20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8"/>
              <w:spacing w:before="48"/>
              <w:ind w:right="234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ASTM D149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878" w:type="dxa"/>
            <w:tcBorders>
              <w:right w:val="nil"/>
            </w:tcBorders>
          </w:tcPr>
          <w:p>
            <w:pPr>
              <w:pStyle w:val="8"/>
              <w:ind w:right="234"/>
              <w:rPr>
                <w:sz w:val="18"/>
              </w:rPr>
            </w:pPr>
            <w:r>
              <w:rPr>
                <w:rFonts w:hint="eastAsia" w:ascii="楷体" w:hAnsi="楷体" w:eastAsia="楷体"/>
                <w:sz w:val="18"/>
              </w:rPr>
              <w:t>体积电阻率</w:t>
            </w:r>
            <w:r>
              <w:rPr>
                <w:sz w:val="18"/>
              </w:rPr>
              <w:t>/Ω·cm</w:t>
            </w:r>
          </w:p>
        </w:tc>
        <w:tc>
          <w:tcPr>
            <w:tcW w:w="1462" w:type="dxa"/>
            <w:tcBorders>
              <w:left w:val="nil"/>
              <w:right w:val="nil"/>
            </w:tcBorders>
          </w:tcPr>
          <w:p>
            <w:pPr>
              <w:pStyle w:val="8"/>
              <w:ind w:left="237" w:right="194"/>
              <w:rPr>
                <w:sz w:val="11"/>
              </w:rPr>
            </w:pPr>
            <w:r>
              <w:rPr>
                <w:sz w:val="18"/>
              </w:rPr>
              <w:t>&gt;1</w:t>
            </w:r>
            <w:r>
              <w:rPr>
                <w:rFonts w:ascii="楷体" w:hAnsi="楷体"/>
                <w:sz w:val="18"/>
              </w:rPr>
              <w:t>×</w:t>
            </w:r>
            <w:r>
              <w:rPr>
                <w:sz w:val="18"/>
              </w:rPr>
              <w:t xml:space="preserve">10 </w:t>
            </w:r>
            <w:r>
              <w:rPr>
                <w:position w:val="6"/>
                <w:sz w:val="11"/>
              </w:rPr>
              <w:t>15</w:t>
            </w:r>
          </w:p>
        </w:tc>
        <w:tc>
          <w:tcPr>
            <w:tcW w:w="1689" w:type="dxa"/>
            <w:tcBorders>
              <w:left w:val="nil"/>
            </w:tcBorders>
          </w:tcPr>
          <w:p>
            <w:pPr>
              <w:pStyle w:val="8"/>
              <w:spacing w:before="59"/>
              <w:ind w:left="193"/>
              <w:rPr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ASTM D257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700" w:right="1580" w:bottom="280" w:left="1680" w:header="720" w:footer="720" w:gutter="0"/>
          <w:cols w:equalWidth="0" w:num="2">
            <w:col w:w="3110" w:space="603"/>
            <w:col w:w="4937"/>
          </w:cols>
        </w:sectPr>
      </w:pPr>
    </w:p>
    <w:p>
      <w:pPr>
        <w:pStyle w:val="3"/>
        <w:spacing w:before="102" w:line="278" w:lineRule="auto"/>
        <w:ind w:left="-880" w:leftChars="0" w:right="-590" w:rightChars="0" w:firstLine="440" w:firstLineChars="0"/>
        <w:rPr>
          <w:spacing w:val="-10"/>
          <w:w w:val="95"/>
        </w:rPr>
      </w:pPr>
      <w:r>
        <w:rPr>
          <w:spacing w:val="-10"/>
          <w:w w:val="95"/>
        </w:rPr>
        <w:t>将被粘或被涂覆物表面整理干净，除去锈迹、灰尘和油污等。先用盖帽尖端刺破胶管封口，套上尖嘴，将胶液挤到已清理干净的表面，使之分布均匀，将被粘面合拢固定即可。将涂装好的部件置于空气中，室温固化 24 小时后即可投入使用。操作完成后，未用完的胶应立即拧紧盖帽，密封保存。再次使用时，若封口处有少许结皮，将其去除即可，不影响正常使用。</w:t>
      </w:r>
    </w:p>
    <w:p>
      <w:pPr>
        <w:widowControl/>
        <w:autoSpaceDE/>
        <w:autoSpaceDN/>
        <w:spacing w:before="39" w:after="0" w:line="240" w:lineRule="auto"/>
        <w:ind w:left="-878" w:leftChars="-407" w:right="140" w:hanging="17" w:hangingChars="7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-878" w:leftChars="-407" w:right="140" w:hanging="17" w:hangingChars="7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注意事项</w:t>
      </w:r>
    </w:p>
    <w:p>
      <w:pPr>
        <w:pStyle w:val="3"/>
        <w:tabs>
          <w:tab w:val="left" w:pos="440"/>
        </w:tabs>
        <w:spacing w:before="155" w:line="240" w:lineRule="auto"/>
        <w:ind w:left="-660" w:leftChars="-300" w:right="-470" w:rightChars="0" w:firstLine="0" w:firstLineChars="0"/>
        <w:jc w:val="both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1、远离儿童存放。</w:t>
      </w:r>
    </w:p>
    <w:p>
      <w:pPr>
        <w:pStyle w:val="3"/>
        <w:tabs>
          <w:tab w:val="left" w:pos="440"/>
        </w:tabs>
        <w:spacing w:before="155" w:line="240" w:lineRule="auto"/>
        <w:ind w:left="-660" w:leftChars="-300" w:right="-470" w:rightChars="0" w:firstLine="0" w:firstLineChars="0"/>
        <w:jc w:val="both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2、若不慎接触皮肤，擦拭干净，然后用清水冲洗。若不慎接触眼睛，立即用清水冲洗并到医院检查。</w:t>
      </w:r>
    </w:p>
    <w:p>
      <w:pPr>
        <w:pStyle w:val="3"/>
        <w:tabs>
          <w:tab w:val="left" w:pos="440"/>
        </w:tabs>
        <w:spacing w:before="155" w:line="240" w:lineRule="auto"/>
        <w:ind w:left="-660" w:leftChars="-300" w:right="-470" w:rightChars="0" w:firstLine="0" w:firstLineChars="0"/>
        <w:jc w:val="both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3、建议在通风良好处使用。</w:t>
      </w:r>
    </w:p>
    <w:p>
      <w:pPr>
        <w:widowControl/>
        <w:autoSpaceDE/>
        <w:autoSpaceDN/>
        <w:spacing w:before="39" w:after="0" w:line="240" w:lineRule="auto"/>
        <w:ind w:left="-878" w:leftChars="-407" w:right="140" w:hanging="17" w:hangingChars="7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-878" w:leftChars="-407" w:right="140" w:hanging="17" w:hangingChars="7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包装规格</w:t>
      </w:r>
    </w:p>
    <w:p>
      <w:pPr>
        <w:pStyle w:val="3"/>
        <w:tabs>
          <w:tab w:val="left" w:pos="440"/>
        </w:tabs>
        <w:spacing w:before="155" w:line="278" w:lineRule="auto"/>
        <w:ind w:left="-660" w:leftChars="-300" w:right="-470" w:rightChars="0" w:firstLine="220" w:firstLineChars="100"/>
        <w:jc w:val="both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300ml/支，24 支/箱；100ml/支，100 支/箱。2.6L/支，4 支/箱。</w:t>
      </w:r>
    </w:p>
    <w:p>
      <w:pPr>
        <w:widowControl/>
        <w:autoSpaceDE/>
        <w:autoSpaceDN/>
        <w:spacing w:before="39" w:after="0" w:line="240" w:lineRule="auto"/>
        <w:ind w:left="-878" w:leftChars="-407" w:right="140" w:hanging="17" w:hangingChars="7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-878" w:leftChars="-407" w:right="140" w:hanging="17" w:hangingChars="7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储存</w:t>
      </w:r>
    </w:p>
    <w:p>
      <w:pPr>
        <w:pStyle w:val="3"/>
        <w:tabs>
          <w:tab w:val="left" w:pos="440"/>
          <w:tab w:val="left" w:pos="8580"/>
        </w:tabs>
        <w:spacing w:before="155" w:line="278" w:lineRule="auto"/>
        <w:ind w:left="-660" w:leftChars="-300" w:right="-690" w:rightChars="0" w:firstLine="220" w:firstLineChars="100"/>
        <w:jc w:val="both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在30℃以下于阴凉干燥处密封保存。产品保质期为自生产日期后六个月。按一般化学品搬运、运输。</w:t>
      </w:r>
    </w:p>
    <w:sectPr>
      <w:type w:val="continuous"/>
      <w:pgSz w:w="11910" w:h="16840"/>
      <w:pgMar w:top="840" w:right="15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modern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swiss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decorative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447822">
    <w:nsid w:val="0053208E"/>
    <w:multiLevelType w:val="multilevel"/>
    <w:tmpl w:val="0053208E"/>
    <w:lvl w:ilvl="0" w:tentative="1">
      <w:start w:val="0"/>
      <w:numFmt w:val="bullet"/>
      <w:lvlText w:val="•"/>
      <w:lvlJc w:val="left"/>
      <w:pPr>
        <w:ind w:left="294" w:hanging="142"/>
      </w:pPr>
      <w:rPr>
        <w:rFonts w:hint="default" w:ascii="宋体" w:hAnsi="宋体" w:eastAsia="宋体" w:cs="宋体"/>
        <w:spacing w:val="1"/>
        <w:w w:val="100"/>
        <w:sz w:val="26"/>
        <w:szCs w:val="26"/>
        <w:lang w:val="en-US" w:eastAsia="en-US" w:bidi="en-US"/>
      </w:rPr>
    </w:lvl>
    <w:lvl w:ilvl="1" w:tentative="1">
      <w:start w:val="0"/>
      <w:numFmt w:val="bullet"/>
      <w:lvlText w:val="•"/>
      <w:lvlJc w:val="left"/>
      <w:pPr>
        <w:ind w:left="1272" w:hanging="142"/>
      </w:pPr>
      <w:rPr>
        <w:rFonts w:hint="default"/>
        <w:lang w:val="en-US" w:eastAsia="en-US" w:bidi="en-US"/>
      </w:rPr>
    </w:lvl>
    <w:lvl w:ilvl="2" w:tentative="1">
      <w:start w:val="0"/>
      <w:numFmt w:val="bullet"/>
      <w:lvlText w:val="•"/>
      <w:lvlJc w:val="left"/>
      <w:pPr>
        <w:ind w:left="2245" w:hanging="142"/>
      </w:pPr>
      <w:rPr>
        <w:rFonts w:hint="default"/>
        <w:lang w:val="en-US" w:eastAsia="en-US" w:bidi="en-US"/>
      </w:rPr>
    </w:lvl>
    <w:lvl w:ilvl="3" w:tentative="1">
      <w:start w:val="0"/>
      <w:numFmt w:val="bullet"/>
      <w:lvlText w:val="•"/>
      <w:lvlJc w:val="left"/>
      <w:pPr>
        <w:ind w:left="3217" w:hanging="142"/>
      </w:pPr>
      <w:rPr>
        <w:rFonts w:hint="default"/>
        <w:lang w:val="en-US" w:eastAsia="en-US" w:bidi="en-US"/>
      </w:rPr>
    </w:lvl>
    <w:lvl w:ilvl="4" w:tentative="1">
      <w:start w:val="0"/>
      <w:numFmt w:val="bullet"/>
      <w:lvlText w:val="•"/>
      <w:lvlJc w:val="left"/>
      <w:pPr>
        <w:ind w:left="4190" w:hanging="142"/>
      </w:pPr>
      <w:rPr>
        <w:rFonts w:hint="default"/>
        <w:lang w:val="en-US" w:eastAsia="en-US" w:bidi="en-US"/>
      </w:rPr>
    </w:lvl>
    <w:lvl w:ilvl="5" w:tentative="1">
      <w:start w:val="0"/>
      <w:numFmt w:val="bullet"/>
      <w:lvlText w:val="•"/>
      <w:lvlJc w:val="left"/>
      <w:pPr>
        <w:ind w:left="5163" w:hanging="142"/>
      </w:pPr>
      <w:rPr>
        <w:rFonts w:hint="default"/>
        <w:lang w:val="en-US" w:eastAsia="en-US" w:bidi="en-US"/>
      </w:rPr>
    </w:lvl>
    <w:lvl w:ilvl="6" w:tentative="1">
      <w:start w:val="0"/>
      <w:numFmt w:val="bullet"/>
      <w:lvlText w:val="•"/>
      <w:lvlJc w:val="left"/>
      <w:pPr>
        <w:ind w:left="6135" w:hanging="142"/>
      </w:pPr>
      <w:rPr>
        <w:rFonts w:hint="default"/>
        <w:lang w:val="en-US" w:eastAsia="en-US" w:bidi="en-US"/>
      </w:rPr>
    </w:lvl>
    <w:lvl w:ilvl="7" w:tentative="1">
      <w:start w:val="0"/>
      <w:numFmt w:val="bullet"/>
      <w:lvlText w:val="•"/>
      <w:lvlJc w:val="left"/>
      <w:pPr>
        <w:ind w:left="7108" w:hanging="142"/>
      </w:pPr>
      <w:rPr>
        <w:rFonts w:hint="default"/>
        <w:lang w:val="en-US" w:eastAsia="en-US" w:bidi="en-US"/>
      </w:rPr>
    </w:lvl>
    <w:lvl w:ilvl="8" w:tentative="1">
      <w:start w:val="0"/>
      <w:numFmt w:val="bullet"/>
      <w:lvlText w:val="•"/>
      <w:lvlJc w:val="left"/>
      <w:pPr>
        <w:ind w:left="8081" w:hanging="142"/>
      </w:pPr>
      <w:rPr>
        <w:rFonts w:hint="default"/>
        <w:lang w:val="en-US" w:eastAsia="en-US" w:bidi="en-US"/>
      </w:rPr>
    </w:lvl>
  </w:abstractNum>
  <w:num w:numId="1">
    <w:abstractNumId w:val="54478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83CB0"/>
    <w:rsid w:val="2D48604D"/>
    <w:rsid w:val="5E1314A3"/>
    <w:rsid w:val="66D93CF7"/>
    <w:rsid w:val="7A9541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12"/>
      <w:ind w:left="121"/>
      <w:outlineLvl w:val="1"/>
    </w:pPr>
    <w:rPr>
      <w:rFonts w:ascii="楷体" w:hAnsi="楷体" w:eastAsia="楷体" w:cs="楷体"/>
      <w:sz w:val="28"/>
      <w:szCs w:val="28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楷体" w:hAnsi="楷体" w:eastAsia="楷体" w:cs="楷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"/>
      <w:ind w:left="782" w:hanging="86"/>
    </w:pPr>
    <w:rPr>
      <w:rFonts w:ascii="楷体" w:hAnsi="楷体" w:eastAsia="楷体" w:cs="楷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50"/>
      <w:ind w:left="97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2020-04-09T03:53:00Z</dcterms:created>
  <dc:creator>Administrator</dc:creator>
  <cp:lastModifiedBy>Administrator</cp:lastModifiedBy>
  <dcterms:modified xsi:type="dcterms:W3CDTF">2020-04-21T03:54:07Z</dcterms:modified>
  <dc:title>TBL-6531产品TDS.doc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TBL-6531产品TDS.doc - WPS 2019</vt:lpwstr>
  </property>
  <property fmtid="{D5CDD505-2E9C-101B-9397-08002B2CF9AE}" pid="4" name="LastSaved">
    <vt:filetime>2020-04-09T00:00:00Z</vt:filetime>
  </property>
  <property fmtid="{D5CDD505-2E9C-101B-9397-08002B2CF9AE}" pid="5" name="KSOProductBuildVer">
    <vt:lpwstr>2052-10.8.0.5391</vt:lpwstr>
  </property>
</Properties>
</file>