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outlineLvl w:val="9"/>
        <w:rPr>
          <w:color w:val="auto"/>
          <w:sz w:val="24"/>
          <w:szCs w:val="24"/>
        </w:rPr>
      </w:pPr>
      <w:bookmarkStart w:id="0" w:name="page1"/>
      <w:bookmarkEnd w:id="0"/>
      <w:r>
        <w:rPr>
          <w:color w:val="auto"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-87630</wp:posOffset>
            </wp:positionH>
            <wp:positionV relativeFrom="page">
              <wp:posOffset>219075</wp:posOffset>
            </wp:positionV>
            <wp:extent cx="7536180" cy="1840865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36180" cy="1840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outlineLvl w:val="9"/>
        <w:rPr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outlineLvl w:val="9"/>
        <w:rPr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outlineLvl w:val="9"/>
        <w:rPr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outlineLvl w:val="9"/>
        <w:rPr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outlineLvl w:val="9"/>
        <w:rPr>
          <w:rFonts w:hint="eastAsia" w:ascii="微软雅黑" w:hAnsi="微软雅黑" w:eastAsia="微软雅黑" w:cs="微软雅黑"/>
          <w:b/>
          <w:kern w:val="0"/>
          <w:sz w:val="28"/>
          <w:szCs w:val="28"/>
          <w:lang w:val="en-US" w:eastAsia="zh-CN"/>
        </w:rPr>
      </w:pPr>
    </w:p>
    <w:p>
      <w:pPr>
        <w:ind w:left="440" w:leftChars="200"/>
        <w:jc w:val="center"/>
        <w:rPr>
          <w:rFonts w:hint="eastAsia" w:ascii="微软雅黑" w:hAnsi="微软雅黑" w:eastAsia="微软雅黑" w:cs="微软雅黑"/>
          <w:b w:val="0"/>
          <w:bCs w:val="0"/>
          <w:sz w:val="30"/>
          <w:szCs w:val="30"/>
        </w:rPr>
      </w:pPr>
      <w:bookmarkStart w:id="1" w:name="_GoBack"/>
      <w:r>
        <w:rPr>
          <w:rFonts w:hint="eastAsia" w:ascii="微软雅黑" w:hAnsi="微软雅黑" w:eastAsia="微软雅黑" w:cs="微软雅黑"/>
          <w:b/>
          <w:bCs/>
          <w:sz w:val="30"/>
          <w:szCs w:val="30"/>
        </w:rPr>
        <w:t>M</w:t>
      </w:r>
      <w:r>
        <w:rPr>
          <w:rFonts w:hint="eastAsia" w:ascii="微软雅黑" w:hAnsi="微软雅黑" w:eastAsia="微软雅黑" w:cs="微软雅黑"/>
          <w:b/>
          <w:bCs/>
          <w:sz w:val="30"/>
          <w:szCs w:val="30"/>
          <w:lang w:val="en-US" w:eastAsia="zh-CN"/>
        </w:rPr>
        <w:t>SK  C</w:t>
      </w:r>
      <w:r>
        <w:rPr>
          <w:rFonts w:hint="eastAsia" w:ascii="微软雅黑" w:hAnsi="微软雅黑" w:eastAsia="微软雅黑" w:cs="微软雅黑"/>
          <w:b/>
          <w:bCs/>
          <w:sz w:val="30"/>
          <w:szCs w:val="30"/>
        </w:rPr>
        <w:t>-14</w:t>
      </w:r>
      <w:r>
        <w:rPr>
          <w:rFonts w:hint="eastAsia" w:ascii="微软雅黑" w:hAnsi="微软雅黑" w:eastAsia="微软雅黑" w:cs="微软雅黑"/>
          <w:b w:val="0"/>
          <w:bCs w:val="0"/>
          <w:sz w:val="30"/>
          <w:szCs w:val="30"/>
        </w:rPr>
        <w:t>高抗黄无</w:t>
      </w:r>
      <w:r>
        <w:rPr>
          <w:rFonts w:hint="eastAsia" w:ascii="微软雅黑" w:hAnsi="微软雅黑" w:eastAsia="微软雅黑" w:cs="微软雅黑"/>
          <w:b w:val="0"/>
          <w:bCs w:val="0"/>
          <w:sz w:val="30"/>
          <w:szCs w:val="30"/>
          <w:lang w:eastAsia="zh-CN"/>
        </w:rPr>
        <w:t>味硫化</w:t>
      </w:r>
      <w:r>
        <w:rPr>
          <w:rFonts w:hint="eastAsia" w:ascii="微软雅黑" w:hAnsi="微软雅黑" w:eastAsia="微软雅黑" w:cs="微软雅黑"/>
          <w:b w:val="0"/>
          <w:bCs w:val="0"/>
          <w:sz w:val="30"/>
          <w:szCs w:val="30"/>
        </w:rPr>
        <w:t>剂</w:t>
      </w:r>
    </w:p>
    <w:bookmarkEnd w:id="1"/>
    <w:p>
      <w:pPr>
        <w:jc w:val="both"/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CN"/>
        </w:rPr>
        <w:t>产品描述</w:t>
      </w:r>
    </w:p>
    <w:p>
      <w:pPr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Cs/>
          <w:sz w:val="21"/>
          <w:szCs w:val="21"/>
        </w:rPr>
        <w:t>M</w:t>
      </w:r>
      <w:r>
        <w:rPr>
          <w:rFonts w:hint="eastAsia" w:ascii="微软雅黑" w:hAnsi="微软雅黑" w:eastAsia="微软雅黑" w:cs="微软雅黑"/>
          <w:bCs/>
          <w:sz w:val="21"/>
          <w:szCs w:val="21"/>
          <w:lang w:val="en-US" w:eastAsia="zh-CN"/>
        </w:rPr>
        <w:t xml:space="preserve">SK </w:t>
      </w:r>
      <w:r>
        <w:rPr>
          <w:rFonts w:hint="eastAsia" w:ascii="微软雅黑" w:hAnsi="微软雅黑" w:eastAsia="微软雅黑" w:cs="微软雅黑"/>
          <w:bCs/>
          <w:sz w:val="21"/>
          <w:szCs w:val="21"/>
        </w:rPr>
        <w:t>C-14高抗黄无味</w:t>
      </w:r>
      <w:r>
        <w:rPr>
          <w:rFonts w:hint="eastAsia" w:ascii="微软雅黑" w:hAnsi="微软雅黑" w:eastAsia="微软雅黑" w:cs="微软雅黑"/>
          <w:bCs/>
          <w:sz w:val="21"/>
          <w:szCs w:val="21"/>
          <w:lang w:eastAsia="zh-CN"/>
        </w:rPr>
        <w:t>硫化剂</w:t>
      </w:r>
      <w:r>
        <w:rPr>
          <w:rFonts w:hint="eastAsia" w:ascii="微软雅黑" w:hAnsi="微软雅黑" w:eastAsia="微软雅黑" w:cs="微软雅黑"/>
          <w:bCs/>
          <w:sz w:val="21"/>
          <w:szCs w:val="21"/>
        </w:rPr>
        <w:t>，其分散性极好，硫化速度快，硫化硅制品无味，抗黄效果佳，适用于乙烯基硅橡胶、聚乙烯、乙丙橡胶的交联。</w:t>
      </w:r>
    </w:p>
    <w:p>
      <w:pPr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 w:val="0"/>
          <w:sz w:val="21"/>
          <w:szCs w:val="21"/>
        </w:rPr>
        <w:t>成   份</w:t>
      </w:r>
      <w:r>
        <w:rPr>
          <w:rFonts w:hint="eastAsia" w:ascii="微软雅黑" w:hAnsi="微软雅黑" w:eastAsia="微软雅黑" w:cs="微软雅黑"/>
          <w:bCs/>
          <w:sz w:val="21"/>
          <w:szCs w:val="21"/>
        </w:rPr>
        <w:t>：A、有机硅聚合物               B、活性过氧化物             C、抗黄剂                    D、其它</w:t>
      </w:r>
    </w:p>
    <w:p>
      <w:pPr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 w:val="0"/>
          <w:sz w:val="21"/>
          <w:szCs w:val="21"/>
        </w:rPr>
        <w:t>添加比例</w:t>
      </w:r>
      <w:r>
        <w:rPr>
          <w:rFonts w:hint="eastAsia" w:ascii="微软雅黑" w:hAnsi="微软雅黑" w:eastAsia="微软雅黑" w:cs="微软雅黑"/>
          <w:bCs/>
          <w:sz w:val="21"/>
          <w:szCs w:val="21"/>
        </w:rPr>
        <w:t>：1.3-1.8%</w:t>
      </w:r>
      <w:r>
        <w:rPr>
          <w:rFonts w:hint="eastAsia" w:ascii="微软雅黑" w:hAnsi="微软雅黑" w:eastAsia="微软雅黑" w:cs="微软雅黑"/>
          <w:bCs/>
          <w:sz w:val="21"/>
          <w:szCs w:val="21"/>
          <w:lang w:val="en-US" w:eastAsia="zh-CN"/>
        </w:rPr>
        <w:t xml:space="preserve">  </w:t>
      </w:r>
    </w:p>
    <w:p>
      <w:pPr>
        <w:rPr>
          <w:rFonts w:hint="eastAsia" w:ascii="微软雅黑" w:hAnsi="微软雅黑" w:eastAsia="微软雅黑" w:cs="微软雅黑"/>
          <w:bCs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 w:val="0"/>
          <w:sz w:val="21"/>
          <w:szCs w:val="21"/>
        </w:rPr>
        <w:t>外    观</w:t>
      </w:r>
      <w:r>
        <w:rPr>
          <w:rFonts w:hint="eastAsia" w:ascii="微软雅黑" w:hAnsi="微软雅黑" w:eastAsia="微软雅黑" w:cs="微软雅黑"/>
          <w:bCs/>
          <w:sz w:val="21"/>
          <w:szCs w:val="21"/>
        </w:rPr>
        <w:t>：透明胶体</w:t>
      </w:r>
      <w:r>
        <w:rPr>
          <w:rFonts w:hint="eastAsia" w:ascii="微软雅黑" w:hAnsi="微软雅黑" w:eastAsia="微软雅黑" w:cs="微软雅黑"/>
          <w:bCs/>
          <w:sz w:val="21"/>
          <w:szCs w:val="21"/>
          <w:lang w:val="en-US" w:eastAsia="zh-CN"/>
        </w:rPr>
        <w:t xml:space="preserve">        </w:t>
      </w:r>
    </w:p>
    <w:p>
      <w:pPr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 w:val="0"/>
          <w:sz w:val="21"/>
          <w:szCs w:val="21"/>
        </w:rPr>
        <w:t>包    装</w:t>
      </w:r>
      <w:r>
        <w:rPr>
          <w:rFonts w:hint="eastAsia" w:ascii="微软雅黑" w:hAnsi="微软雅黑" w:eastAsia="微软雅黑" w:cs="微软雅黑"/>
          <w:bCs/>
          <w:sz w:val="21"/>
          <w:szCs w:val="21"/>
        </w:rPr>
        <w:t>：20kg／桶</w:t>
      </w:r>
    </w:p>
    <w:p>
      <w:pPr>
        <w:rPr>
          <w:rFonts w:hint="eastAsia" w:ascii="微软雅黑" w:hAnsi="微软雅黑" w:eastAsia="微软雅黑" w:cs="微软雅黑"/>
          <w:bCs/>
          <w:sz w:val="21"/>
          <w:szCs w:val="21"/>
        </w:rPr>
      </w:pPr>
    </w:p>
    <w:p>
      <w:pPr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 w:val="0"/>
          <w:sz w:val="21"/>
          <w:szCs w:val="21"/>
        </w:rPr>
        <w:t>保存期限</w:t>
      </w:r>
      <w:r>
        <w:rPr>
          <w:rFonts w:hint="eastAsia" w:ascii="微软雅黑" w:hAnsi="微软雅黑" w:eastAsia="微软雅黑" w:cs="微软雅黑"/>
          <w:bCs/>
          <w:sz w:val="21"/>
          <w:szCs w:val="21"/>
          <w:lang w:eastAsia="zh-CN"/>
        </w:rPr>
        <w:t>：</w:t>
      </w:r>
      <w:r>
        <w:rPr>
          <w:rFonts w:hint="eastAsia" w:ascii="微软雅黑" w:hAnsi="微软雅黑" w:eastAsia="微软雅黑" w:cs="微软雅黑"/>
          <w:bCs/>
          <w:sz w:val="21"/>
          <w:szCs w:val="21"/>
        </w:rPr>
        <w:t>不拆密封桶的情况下可存放六个月以上。</w:t>
      </w:r>
    </w:p>
    <w:p>
      <w:pPr>
        <w:ind w:firstLine="435"/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sz w:val="21"/>
          <w:szCs w:val="21"/>
          <w:lang w:val="en-US" w:eastAsia="zh-CN"/>
        </w:rPr>
        <w:t xml:space="preserve">          </w:t>
      </w:r>
      <w:r>
        <w:rPr>
          <w:rFonts w:hint="eastAsia" w:ascii="微软雅黑" w:hAnsi="微软雅黑" w:eastAsia="微软雅黑" w:cs="微软雅黑"/>
          <w:bCs/>
          <w:sz w:val="21"/>
          <w:szCs w:val="21"/>
          <w:lang w:eastAsia="zh-CN"/>
        </w:rPr>
        <w:t>炼好的胶料须当天用完。必要的</w:t>
      </w:r>
      <w:r>
        <w:rPr>
          <w:rFonts w:hint="eastAsia" w:ascii="微软雅黑" w:hAnsi="微软雅黑" w:eastAsia="微软雅黑" w:cs="微软雅黑"/>
          <w:bCs/>
          <w:sz w:val="21"/>
          <w:szCs w:val="21"/>
          <w:lang w:val="en-US" w:eastAsia="zh-CN"/>
        </w:rPr>
        <w:t>情况下</w:t>
      </w:r>
      <w:r>
        <w:rPr>
          <w:rFonts w:hint="eastAsia" w:ascii="微软雅黑" w:hAnsi="微软雅黑" w:eastAsia="微软雅黑" w:cs="微软雅黑"/>
          <w:bCs/>
          <w:sz w:val="21"/>
          <w:szCs w:val="21"/>
          <w:lang w:eastAsia="zh-CN"/>
        </w:rPr>
        <w:t>密封保存。</w:t>
      </w:r>
    </w:p>
    <w:p>
      <w:pPr>
        <w:rPr>
          <w:rFonts w:hint="eastAsia" w:ascii="微软雅黑" w:hAnsi="微软雅黑" w:eastAsia="微软雅黑" w:cs="微软雅黑"/>
          <w:b/>
          <w:bCs w:val="0"/>
          <w:sz w:val="21"/>
          <w:szCs w:val="21"/>
        </w:rPr>
      </w:pPr>
    </w:p>
    <w:p>
      <w:pPr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 w:val="0"/>
          <w:sz w:val="21"/>
          <w:szCs w:val="21"/>
        </w:rPr>
        <w:t>贮存方法</w:t>
      </w:r>
      <w:r>
        <w:rPr>
          <w:rFonts w:hint="eastAsia" w:ascii="微软雅黑" w:hAnsi="微软雅黑" w:eastAsia="微软雅黑" w:cs="微软雅黑"/>
          <w:bCs/>
          <w:sz w:val="21"/>
          <w:szCs w:val="21"/>
        </w:rPr>
        <w:t>：</w:t>
      </w:r>
    </w:p>
    <w:p>
      <w:pPr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sz w:val="21"/>
          <w:szCs w:val="21"/>
        </w:rPr>
        <w:t>贮存场所严禁明火，远离热源，防止静电、阳光直射（爆晒）及猛烈撞击；远离火源、酸性、碱性物质及易燃性物料。应有良好的通风，室温宜在25</w:t>
      </w:r>
      <w:r>
        <w:rPr>
          <w:rFonts w:hint="eastAsia" w:ascii="微软雅黑" w:hAnsi="微软雅黑" w:eastAsia="微软雅黑" w:cs="微软雅黑"/>
          <w:bCs/>
          <w:sz w:val="21"/>
          <w:szCs w:val="21"/>
          <w:vertAlign w:val="superscript"/>
        </w:rPr>
        <w:t>o</w:t>
      </w:r>
      <w:r>
        <w:rPr>
          <w:rFonts w:hint="eastAsia" w:ascii="微软雅黑" w:hAnsi="微软雅黑" w:eastAsia="微软雅黑" w:cs="微软雅黑"/>
          <w:bCs/>
          <w:sz w:val="21"/>
          <w:szCs w:val="21"/>
        </w:rPr>
        <w:t>C以下存贮；大量存放该产品时，严禁产品接触还原剂、铁锈、重金属离子及酸、碱性物质和易燃性材料。</w:t>
      </w:r>
    </w:p>
    <w:p>
      <w:pPr>
        <w:rPr>
          <w:rFonts w:hint="eastAsia" w:ascii="微软雅黑" w:hAnsi="微软雅黑" w:eastAsia="微软雅黑" w:cs="微软雅黑"/>
          <w:b/>
          <w:bCs w:val="0"/>
          <w:sz w:val="21"/>
          <w:szCs w:val="21"/>
        </w:rPr>
      </w:pPr>
    </w:p>
    <w:p>
      <w:pPr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 w:val="0"/>
          <w:sz w:val="21"/>
          <w:szCs w:val="21"/>
        </w:rPr>
        <w:t>急救措施</w:t>
      </w:r>
      <w:r>
        <w:rPr>
          <w:rFonts w:hint="eastAsia" w:ascii="微软雅黑" w:hAnsi="微软雅黑" w:eastAsia="微软雅黑" w:cs="微软雅黑"/>
          <w:bCs/>
          <w:sz w:val="21"/>
          <w:szCs w:val="21"/>
        </w:rPr>
        <w:t>：</w:t>
      </w:r>
    </w:p>
    <w:p>
      <w:pPr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sz w:val="21"/>
          <w:szCs w:val="21"/>
        </w:rPr>
        <w:t>1、误入眼内：立即用水长时间冲洗，然后用碳酸氢钠稀溶液或配制的5%抗坏血酸钠溶液洗涤，并立即找医生就医。</w:t>
      </w:r>
    </w:p>
    <w:p>
      <w:pPr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sz w:val="21"/>
          <w:szCs w:val="21"/>
        </w:rPr>
        <w:t>2、贱到皮肤：用碱性物质（如肥皂、洗衣粉等）和水清洗。</w:t>
      </w:r>
    </w:p>
    <w:p>
      <w:pPr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sz w:val="21"/>
          <w:szCs w:val="21"/>
        </w:rPr>
        <w:t>3、溅落地面：用滑石粉等惰性材料吸附，用铜制铲子清理吸附材料，并用水清污染地带，室内注意通风。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11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outlineLvl w:val="9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 </w:t>
      </w:r>
    </w:p>
    <w:sectPr>
      <w:pgSz w:w="11900" w:h="16838"/>
      <w:pgMar w:top="1440" w:right="1440" w:bottom="1440" w:left="1440" w:header="0" w:footer="0" w:gutter="0"/>
      <w:cols w:equalWidth="0" w:num="1">
        <w:col w:w="902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877EFE"/>
    <w:rsid w:val="00AF1B9A"/>
    <w:rsid w:val="0A630BE9"/>
    <w:rsid w:val="1C923903"/>
    <w:rsid w:val="2CE43776"/>
    <w:rsid w:val="59B17DAC"/>
    <w:rsid w:val="5B4C55CE"/>
    <w:rsid w:val="600C6175"/>
    <w:rsid w:val="610B5CDB"/>
    <w:rsid w:val="6BEB21DF"/>
    <w:rsid w:val="728C0B5F"/>
    <w:rsid w:val="7EB20E8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2"/>
      <w:szCs w:val="22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Strong"/>
    <w:basedOn w:val="4"/>
    <w:qFormat/>
    <w:uiPriority w:val="0"/>
    <w:rPr>
      <w:b/>
      <w:bCs/>
    </w:rPr>
  </w:style>
  <w:style w:type="character" w:customStyle="1" w:styleId="7">
    <w:name w:val="font21"/>
    <w:basedOn w:val="4"/>
    <w:uiPriority w:val="0"/>
    <w:rPr>
      <w:rFonts w:hint="eastAsia" w:ascii="微软雅黑" w:hAnsi="微软雅黑" w:eastAsia="微软雅黑" w:cs="微软雅黑"/>
      <w:color w:val="000000"/>
      <w:sz w:val="21"/>
      <w:szCs w:val="21"/>
      <w:u w:val="none"/>
    </w:rPr>
  </w:style>
  <w:style w:type="character" w:customStyle="1" w:styleId="8">
    <w:name w:val="font11"/>
    <w:basedOn w:val="4"/>
    <w:qFormat/>
    <w:uiPriority w:val="0"/>
    <w:rPr>
      <w:rFonts w:ascii="Calibri" w:hAnsi="Calibri" w:cs="Calibri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3</Characters>
  <Lines>1</Lines>
  <Paragraphs>1</Paragraphs>
  <TotalTime>3</TotalTime>
  <ScaleCrop>false</ScaleCrop>
  <LinksUpToDate>false</LinksUpToDate>
  <CharactersWithSpaces>3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2018-03-21T13:56:00Z</dcterms:created>
  <dc:creator>Windows User</dc:creator>
  <cp:lastModifiedBy>弟仔</cp:lastModifiedBy>
  <dcterms:modified xsi:type="dcterms:W3CDTF">2018-08-31T05:53:31Z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